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21"/>
          <w:szCs w:val="21"/>
          <w:highlight w:val="none"/>
        </w:rPr>
      </w:pPr>
    </w:p>
    <w:p>
      <w:pPr>
        <w:snapToGrid w:val="0"/>
        <w:spacing w:line="360" w:lineRule="auto"/>
        <w:jc w:val="center"/>
        <w:rPr>
          <w:rFonts w:hint="eastAsia" w:ascii="宋体" w:hAnsi="宋体" w:eastAsia="宋体" w:cs="宋体"/>
          <w:b/>
          <w:bCs/>
          <w:sz w:val="21"/>
          <w:szCs w:val="21"/>
        </w:rPr>
      </w:pPr>
    </w:p>
    <w:p>
      <w:pPr>
        <w:snapToGrid w:val="0"/>
        <w:spacing w:line="360" w:lineRule="auto"/>
        <w:jc w:val="center"/>
        <w:rPr>
          <w:rFonts w:hint="eastAsia" w:ascii="宋体" w:hAnsi="宋体" w:eastAsia="宋体" w:cs="宋体"/>
          <w:b/>
          <w:bCs/>
          <w:sz w:val="44"/>
          <w:szCs w:val="44"/>
          <w:highlight w:val="none"/>
        </w:rPr>
      </w:pPr>
    </w:p>
    <w:p>
      <w:pPr>
        <w:snapToGrid w:val="0"/>
        <w:spacing w:line="360" w:lineRule="auto"/>
        <w:jc w:val="center"/>
        <w:rPr>
          <w:rFonts w:hint="eastAsia" w:eastAsia="黑体"/>
          <w:b/>
          <w:bCs/>
          <w:sz w:val="96"/>
          <w:szCs w:val="32"/>
          <w:highlight w:val="none"/>
          <w:lang w:eastAsia="zh-CN"/>
        </w:rPr>
      </w:pPr>
      <w:r>
        <w:rPr>
          <w:rFonts w:hint="eastAsia" w:ascii="宋体" w:hAnsi="宋体" w:eastAsia="宋体" w:cs="宋体"/>
          <w:b/>
          <w:bCs/>
          <w:sz w:val="44"/>
          <w:szCs w:val="44"/>
          <w:highlight w:val="none"/>
          <w:lang w:eastAsia="zh-CN"/>
        </w:rPr>
        <w:t>哈尔滨工程大学2020级新生被品采购项目</w:t>
      </w:r>
    </w:p>
    <w:p>
      <w:pPr>
        <w:snapToGrid w:val="0"/>
        <w:jc w:val="center"/>
        <w:rPr>
          <w:rFonts w:hint="eastAsia" w:ascii="黑体" w:hAnsi="黑体" w:eastAsia="黑体" w:cs="黑体"/>
          <w:bCs/>
          <w:sz w:val="84"/>
          <w:highlight w:val="none"/>
        </w:rPr>
      </w:pPr>
    </w:p>
    <w:p>
      <w:pPr>
        <w:snapToGrid w:val="0"/>
        <w:jc w:val="center"/>
        <w:rPr>
          <w:rFonts w:hint="eastAsia" w:ascii="黑体" w:hAnsi="黑体" w:eastAsia="黑体" w:cs="黑体"/>
          <w:bCs/>
          <w:sz w:val="84"/>
          <w:highlight w:val="none"/>
        </w:rPr>
      </w:pPr>
    </w:p>
    <w:p>
      <w:pPr>
        <w:snapToGrid w:val="0"/>
        <w:jc w:val="center"/>
        <w:rPr>
          <w:rFonts w:ascii="黑体" w:hAnsi="黑体" w:eastAsia="黑体" w:cs="黑体"/>
          <w:bCs/>
          <w:sz w:val="84"/>
          <w:highlight w:val="none"/>
        </w:rPr>
      </w:pPr>
      <w:r>
        <w:rPr>
          <w:rFonts w:hint="eastAsia" w:ascii="黑体" w:hAnsi="黑体" w:eastAsia="黑体" w:cs="黑体"/>
          <w:bCs/>
          <w:sz w:val="84"/>
          <w:highlight w:val="none"/>
        </w:rPr>
        <w:t>竞争性磋商文件</w:t>
      </w:r>
    </w:p>
    <w:p>
      <w:pPr>
        <w:snapToGrid w:val="0"/>
        <w:jc w:val="center"/>
        <w:rPr>
          <w:rFonts w:eastAsia="黑体"/>
          <w:b/>
          <w:bCs/>
          <w:highlight w:val="none"/>
        </w:rPr>
      </w:pPr>
    </w:p>
    <w:p>
      <w:pPr>
        <w:snapToGrid w:val="0"/>
        <w:jc w:val="center"/>
        <w:rPr>
          <w:rFonts w:eastAsia="黑体"/>
          <w:b/>
          <w:bCs/>
          <w:highlight w:val="none"/>
        </w:rPr>
      </w:pPr>
    </w:p>
    <w:p>
      <w:pPr>
        <w:snapToGrid w:val="0"/>
        <w:jc w:val="center"/>
        <w:rPr>
          <w:rFonts w:eastAsia="黑体"/>
          <w:b/>
          <w:bCs/>
          <w:highlight w:val="none"/>
        </w:rPr>
      </w:pPr>
    </w:p>
    <w:p>
      <w:pPr>
        <w:snapToGrid w:val="0"/>
        <w:jc w:val="center"/>
        <w:rPr>
          <w:rFonts w:eastAsia="黑体"/>
          <w:b/>
          <w:bCs/>
          <w:highlight w:val="none"/>
        </w:rPr>
      </w:pPr>
    </w:p>
    <w:p>
      <w:pPr>
        <w:snapToGrid w:val="0"/>
        <w:jc w:val="center"/>
        <w:rPr>
          <w:rFonts w:eastAsia="黑体"/>
          <w:b/>
          <w:bCs/>
          <w:highlight w:val="none"/>
        </w:rPr>
      </w:pPr>
    </w:p>
    <w:p>
      <w:pPr>
        <w:snapToGrid w:val="0"/>
        <w:spacing w:line="480" w:lineRule="auto"/>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eastAsia="zh-CN"/>
        </w:rPr>
        <w:t>ZXDC2020C706</w:t>
      </w:r>
    </w:p>
    <w:p>
      <w:pPr>
        <w:snapToGrid w:val="0"/>
        <w:jc w:val="center"/>
        <w:rPr>
          <w:rFonts w:ascii="宋体" w:hAnsi="宋体" w:eastAsia="宋体" w:cs="宋体"/>
          <w:b/>
          <w:bCs/>
          <w:sz w:val="32"/>
          <w:szCs w:val="32"/>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highlight w:val="none"/>
        </w:rPr>
      </w:pPr>
    </w:p>
    <w:p>
      <w:pPr>
        <w:snapToGrid w:val="0"/>
        <w:jc w:val="center"/>
        <w:rPr>
          <w:rFonts w:ascii="宋体" w:hAnsi="宋体" w:eastAsia="宋体" w:cs="宋体"/>
          <w:b/>
          <w:bCs/>
          <w:sz w:val="30"/>
          <w:highlight w:val="none"/>
        </w:rPr>
      </w:pPr>
    </w:p>
    <w:p>
      <w:pPr>
        <w:snapToGrid w:val="0"/>
        <w:jc w:val="both"/>
        <w:rPr>
          <w:rFonts w:ascii="宋体" w:hAnsi="宋体" w:eastAsia="宋体" w:cs="宋体"/>
          <w:b/>
          <w:bCs/>
          <w:sz w:val="30"/>
          <w:highlight w:val="none"/>
        </w:rPr>
      </w:pPr>
    </w:p>
    <w:p>
      <w:pPr>
        <w:snapToGrid w:val="0"/>
        <w:jc w:val="center"/>
        <w:rPr>
          <w:rFonts w:ascii="宋体" w:hAnsi="宋体" w:eastAsia="宋体" w:cs="宋体"/>
          <w:b/>
          <w:bCs/>
          <w:sz w:val="30"/>
          <w:highlight w:val="none"/>
        </w:rPr>
      </w:pPr>
    </w:p>
    <w:p>
      <w:pPr>
        <w:snapToGrid w:val="0"/>
        <w:spacing w:line="500" w:lineRule="exact"/>
        <w:ind w:firstLine="322"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   购   人：</w:t>
      </w:r>
      <w:r>
        <w:rPr>
          <w:rFonts w:hint="eastAsia" w:ascii="黑体" w:hAnsi="黑体" w:eastAsia="黑体" w:cs="黑体"/>
          <w:b/>
          <w:bCs w:val="0"/>
          <w:w w:val="90"/>
          <w:sz w:val="32"/>
          <w:szCs w:val="32"/>
          <w:lang w:eastAsia="zh-CN"/>
        </w:rPr>
        <w:t>哈尔滨工程大学</w:t>
      </w:r>
    </w:p>
    <w:p>
      <w:pPr>
        <w:snapToGrid w:val="0"/>
        <w:spacing w:line="500" w:lineRule="exact"/>
        <w:ind w:firstLine="322"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采购代理机构：</w:t>
      </w:r>
      <w:r>
        <w:rPr>
          <w:rFonts w:hint="eastAsia" w:ascii="黑体" w:hAnsi="黑体" w:eastAsia="黑体" w:cs="黑体"/>
          <w:b/>
          <w:bCs w:val="0"/>
          <w:w w:val="90"/>
          <w:sz w:val="32"/>
          <w:szCs w:val="32"/>
          <w:lang w:eastAsia="zh-CN"/>
        </w:rPr>
        <w:t>正信伟业工程咨询管理有限公司</w:t>
      </w:r>
      <w:r>
        <w:rPr>
          <w:rFonts w:hint="eastAsia" w:ascii="黑体" w:hAnsi="黑体" w:eastAsia="黑体" w:cs="黑体"/>
          <w:b/>
          <w:bCs w:val="0"/>
          <w:sz w:val="32"/>
          <w:szCs w:val="32"/>
          <w:lang w:eastAsia="zh-CN"/>
        </w:rPr>
        <w:t xml:space="preserve"> </w:t>
      </w:r>
      <w:r>
        <w:rPr>
          <w:rFonts w:hint="eastAsia" w:ascii="黑体" w:hAnsi="黑体" w:eastAsia="黑体" w:cs="黑体"/>
          <w:b/>
          <w:bCs w:val="0"/>
          <w:sz w:val="32"/>
          <w:szCs w:val="32"/>
        </w:rPr>
        <w:t xml:space="preserve"> </w:t>
      </w:r>
    </w:p>
    <w:p>
      <w:pPr>
        <w:snapToGrid w:val="0"/>
        <w:spacing w:line="500" w:lineRule="exact"/>
        <w:ind w:firstLine="322" w:firstLineChars="100"/>
        <w:jc w:val="left"/>
        <w:rPr>
          <w:rFonts w:hint="eastAsia" w:ascii="黑体" w:hAnsi="黑体" w:eastAsia="黑体" w:cs="黑体"/>
          <w:b/>
          <w:bCs w:val="0"/>
          <w:w w:val="90"/>
          <w:sz w:val="32"/>
          <w:szCs w:val="32"/>
        </w:rPr>
      </w:pPr>
      <w:r>
        <w:rPr>
          <w:rFonts w:hint="eastAsia" w:ascii="黑体" w:hAnsi="黑体" w:eastAsia="黑体" w:cs="黑体"/>
          <w:b/>
          <w:bCs w:val="0"/>
          <w:sz w:val="32"/>
          <w:szCs w:val="32"/>
        </w:rPr>
        <w:t>代理机构地址：</w:t>
      </w:r>
      <w:r>
        <w:rPr>
          <w:rFonts w:hint="eastAsia" w:ascii="黑体" w:hAnsi="黑体" w:eastAsia="黑体" w:cs="黑体"/>
          <w:b/>
          <w:bCs w:val="0"/>
          <w:w w:val="90"/>
          <w:sz w:val="32"/>
          <w:szCs w:val="32"/>
        </w:rPr>
        <w:t>哈尔滨市香坊区红旗大街235号投资大厦20层</w:t>
      </w:r>
    </w:p>
    <w:p>
      <w:pPr>
        <w:widowControl/>
        <w:ind w:firstLine="322" w:firstLineChars="100"/>
        <w:jc w:val="both"/>
        <w:rPr>
          <w:sz w:val="32"/>
          <w:szCs w:val="32"/>
          <w:highlight w:val="none"/>
        </w:rPr>
      </w:pPr>
      <w:r>
        <w:rPr>
          <w:rFonts w:hint="eastAsia" w:ascii="黑体" w:hAnsi="黑体" w:eastAsia="黑体" w:cs="黑体"/>
          <w:b/>
          <w:bCs w:val="0"/>
          <w:sz w:val="32"/>
          <w:szCs w:val="32"/>
        </w:rPr>
        <w:t>日        期：</w:t>
      </w:r>
      <w:r>
        <w:rPr>
          <w:rFonts w:hint="eastAsia" w:ascii="黑体" w:hAnsi="黑体" w:eastAsia="黑体" w:cs="黑体"/>
          <w:b/>
          <w:bCs w:val="0"/>
          <w:w w:val="90"/>
          <w:sz w:val="32"/>
          <w:szCs w:val="32"/>
          <w:lang w:eastAsia="zh-CN"/>
        </w:rPr>
        <w:t>二〇</w:t>
      </w:r>
      <w:r>
        <w:rPr>
          <w:rFonts w:hint="eastAsia" w:ascii="黑体" w:hAnsi="黑体" w:eastAsia="黑体" w:cs="黑体"/>
          <w:b/>
          <w:bCs w:val="0"/>
          <w:w w:val="90"/>
          <w:sz w:val="32"/>
          <w:szCs w:val="32"/>
          <w:lang w:val="en-US" w:eastAsia="zh-CN"/>
        </w:rPr>
        <w:t>二</w:t>
      </w:r>
      <w:r>
        <w:rPr>
          <w:rFonts w:hint="eastAsia" w:ascii="黑体" w:hAnsi="黑体" w:eastAsia="黑体" w:cs="黑体"/>
          <w:b/>
          <w:bCs w:val="0"/>
          <w:w w:val="90"/>
          <w:sz w:val="32"/>
          <w:szCs w:val="32"/>
          <w:lang w:eastAsia="zh-CN"/>
        </w:rPr>
        <w:t>〇年</w:t>
      </w:r>
      <w:r>
        <w:rPr>
          <w:rFonts w:hint="eastAsia" w:ascii="黑体" w:hAnsi="黑体" w:eastAsia="黑体" w:cs="黑体"/>
          <w:b/>
          <w:bCs w:val="0"/>
          <w:w w:val="90"/>
          <w:sz w:val="32"/>
          <w:szCs w:val="32"/>
          <w:lang w:val="en-US" w:eastAsia="zh-CN"/>
        </w:rPr>
        <w:t>五</w:t>
      </w:r>
      <w:r>
        <w:rPr>
          <w:rFonts w:hint="eastAsia" w:ascii="黑体" w:hAnsi="黑体" w:eastAsia="黑体" w:cs="黑体"/>
          <w:b/>
          <w:bCs w:val="0"/>
          <w:w w:val="90"/>
          <w:sz w:val="32"/>
          <w:szCs w:val="32"/>
          <w:lang w:eastAsia="zh-CN"/>
        </w:rPr>
        <w:t>月</w:t>
      </w:r>
    </w:p>
    <w:p>
      <w:pPr>
        <w:widowControl/>
        <w:jc w:val="center"/>
        <w:rPr>
          <w:sz w:val="32"/>
          <w:szCs w:val="32"/>
          <w:highlight w:val="none"/>
        </w:rPr>
        <w:sectPr>
          <w:headerReference r:id="rId4" w:type="first"/>
          <w:headerReference r:id="rId3" w:type="default"/>
          <w:footerReference r:id="rId5" w:type="default"/>
          <w:pgSz w:w="11907" w:h="16840"/>
          <w:pgMar w:top="1089" w:right="1797" w:bottom="935" w:left="1402" w:header="851" w:footer="992" w:gutter="0"/>
          <w:pgNumType w:start="0"/>
          <w:cols w:space="720" w:num="1"/>
          <w:titlePg/>
          <w:docGrid w:type="linesAndChars" w:linePitch="312" w:charSpace="489"/>
        </w:sectPr>
      </w:pPr>
    </w:p>
    <w:p>
      <w:pPr>
        <w:widowControl/>
        <w:jc w:val="center"/>
        <w:rPr>
          <w:sz w:val="32"/>
          <w:szCs w:val="32"/>
          <w:highlight w:val="none"/>
        </w:rPr>
      </w:pPr>
    </w:p>
    <w:p>
      <w:pPr>
        <w:widowControl/>
        <w:jc w:val="center"/>
        <w:rPr>
          <w:kern w:val="0"/>
          <w:sz w:val="36"/>
          <w:szCs w:val="36"/>
          <w:highlight w:val="none"/>
        </w:rPr>
      </w:pPr>
      <w:r>
        <w:rPr>
          <w:rFonts w:hint="eastAsia" w:ascii="黑体" w:hAnsi="宋体" w:eastAsia="黑体" w:cs="黑体"/>
          <w:b/>
          <w:sz w:val="36"/>
          <w:szCs w:val="36"/>
          <w:highlight w:val="none"/>
        </w:rPr>
        <w:t>磋商文件及磋商公告业主确认函件</w:t>
      </w:r>
    </w:p>
    <w:p>
      <w:pPr>
        <w:spacing w:line="360" w:lineRule="auto"/>
        <w:ind w:firstLine="424" w:firstLineChars="200"/>
        <w:jc w:val="left"/>
        <w:rPr>
          <w:highlight w:val="none"/>
        </w:rPr>
      </w:pPr>
    </w:p>
    <w:p>
      <w:pPr>
        <w:widowControl/>
        <w:snapToGrid w:val="0"/>
        <w:spacing w:line="360" w:lineRule="auto"/>
        <w:jc w:val="left"/>
        <w:rPr>
          <w:rFonts w:ascii="宋体" w:hAnsi="宋体" w:eastAsia="宋体" w:cs="微软雅黑"/>
          <w:b/>
          <w:szCs w:val="24"/>
          <w:highlight w:val="none"/>
        </w:rPr>
      </w:pPr>
      <w:r>
        <w:rPr>
          <w:rFonts w:hint="eastAsia" w:ascii="宋体" w:hAnsi="宋体" w:eastAsia="宋体" w:cs="微软雅黑"/>
          <w:b/>
          <w:sz w:val="24"/>
          <w:szCs w:val="24"/>
          <w:highlight w:val="none"/>
          <w:lang w:eastAsia="zh-CN"/>
        </w:rPr>
        <w:t xml:space="preserve">正信伟业工程咨询管理有限公司 </w:t>
      </w:r>
      <w:r>
        <w:rPr>
          <w:rFonts w:hint="eastAsia" w:ascii="宋体" w:hAnsi="宋体" w:eastAsia="宋体" w:cs="微软雅黑"/>
          <w:b/>
          <w:sz w:val="24"/>
          <w:szCs w:val="24"/>
          <w:highlight w:val="none"/>
        </w:rPr>
        <w:t>：</w:t>
      </w:r>
    </w:p>
    <w:p>
      <w:pPr>
        <w:widowControl/>
        <w:snapToGrid w:val="0"/>
        <w:spacing w:line="360" w:lineRule="auto"/>
        <w:ind w:firstLine="424" w:firstLineChars="200"/>
        <w:jc w:val="left"/>
        <w:rPr>
          <w:rFonts w:ascii="宋体" w:hAnsi="宋体" w:eastAsia="宋体" w:cs="宋体"/>
          <w:color w:val="000000"/>
          <w:kern w:val="0"/>
          <w:szCs w:val="21"/>
          <w:highlight w:val="none"/>
        </w:rPr>
      </w:pPr>
    </w:p>
    <w:p>
      <w:pPr>
        <w:widowControl/>
        <w:snapToGrid w:val="0"/>
        <w:spacing w:line="360" w:lineRule="auto"/>
        <w:ind w:firstLine="484"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你单位根据哈尔滨工程大学提供的采购方案及有关技术资料编写的关于</w:t>
      </w:r>
      <w:r>
        <w:rPr>
          <w:rFonts w:hint="eastAsia" w:ascii="宋体" w:hAnsi="宋体" w:eastAsia="宋体" w:cs="宋体"/>
          <w:color w:val="000000"/>
          <w:kern w:val="0"/>
          <w:sz w:val="24"/>
          <w:szCs w:val="24"/>
          <w:highlight w:val="none"/>
          <w:lang w:eastAsia="zh-CN"/>
        </w:rPr>
        <w:t>哈尔滨工程大学2020级新生被品采购项目</w:t>
      </w:r>
      <w:r>
        <w:rPr>
          <w:rFonts w:hint="eastAsia" w:ascii="宋体" w:hAnsi="宋体" w:eastAsia="宋体" w:cs="宋体"/>
          <w:color w:val="000000"/>
          <w:kern w:val="0"/>
          <w:sz w:val="24"/>
          <w:szCs w:val="24"/>
          <w:highlight w:val="none"/>
        </w:rPr>
        <w:t>（采购编号：</w:t>
      </w:r>
      <w:r>
        <w:rPr>
          <w:rFonts w:hint="eastAsia" w:ascii="宋体" w:hAnsi="宋体" w:eastAsia="宋体" w:cs="宋体"/>
          <w:color w:val="000000"/>
          <w:kern w:val="0"/>
          <w:sz w:val="24"/>
          <w:szCs w:val="24"/>
          <w:highlight w:val="none"/>
          <w:lang w:eastAsia="zh-CN"/>
        </w:rPr>
        <w:t>ZXDC2020C706</w:t>
      </w:r>
      <w:r>
        <w:rPr>
          <w:rFonts w:hint="eastAsia" w:ascii="宋体" w:hAnsi="宋体" w:eastAsia="宋体" w:cs="宋体"/>
          <w:color w:val="000000"/>
          <w:kern w:val="0"/>
          <w:sz w:val="24"/>
          <w:szCs w:val="24"/>
          <w:highlight w:val="none"/>
        </w:rPr>
        <w:t>）的磋商文件及磋商公告，经我单位有关领导审核，认为符合要求，可以对外发售。</w:t>
      </w:r>
    </w:p>
    <w:p>
      <w:pPr>
        <w:widowControl/>
        <w:snapToGrid w:val="0"/>
        <w:spacing w:line="360" w:lineRule="auto"/>
        <w:ind w:firstLine="484" w:firstLineChars="200"/>
        <w:jc w:val="left"/>
        <w:rPr>
          <w:rFonts w:ascii="宋体" w:hAnsi="宋体" w:eastAsia="宋体" w:cs="宋体"/>
          <w:color w:val="000000"/>
          <w:kern w:val="0"/>
          <w:sz w:val="24"/>
          <w:szCs w:val="24"/>
          <w:highlight w:val="none"/>
        </w:rPr>
      </w:pPr>
    </w:p>
    <w:p>
      <w:pPr>
        <w:widowControl/>
        <w:snapToGrid w:val="0"/>
        <w:spacing w:line="360" w:lineRule="auto"/>
        <w:ind w:firstLine="484"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特此确认!</w:t>
      </w:r>
    </w:p>
    <w:p>
      <w:pPr>
        <w:widowControl/>
        <w:snapToGrid w:val="0"/>
        <w:spacing w:line="360" w:lineRule="auto"/>
        <w:ind w:firstLine="424" w:firstLineChars="200"/>
        <w:jc w:val="left"/>
        <w:rPr>
          <w:rFonts w:ascii="宋体" w:hAnsi="宋体" w:eastAsia="宋体" w:cs="宋体"/>
          <w:color w:val="000000"/>
          <w:kern w:val="0"/>
          <w:szCs w:val="21"/>
          <w:highlight w:val="none"/>
        </w:rPr>
      </w:pPr>
    </w:p>
    <w:p>
      <w:pPr>
        <w:widowControl/>
        <w:snapToGrid w:val="0"/>
        <w:spacing w:line="360" w:lineRule="auto"/>
        <w:ind w:firstLine="424" w:firstLineChars="200"/>
        <w:jc w:val="left"/>
        <w:rPr>
          <w:rFonts w:ascii="宋体" w:hAnsi="宋体" w:eastAsia="宋体" w:cs="宋体"/>
          <w:color w:val="000000"/>
          <w:kern w:val="0"/>
          <w:szCs w:val="21"/>
          <w:highlight w:val="none"/>
        </w:rPr>
      </w:pPr>
    </w:p>
    <w:p>
      <w:pPr>
        <w:widowControl/>
        <w:snapToGrid w:val="0"/>
        <w:spacing w:line="360" w:lineRule="auto"/>
        <w:ind w:firstLine="424" w:firstLineChars="200"/>
        <w:jc w:val="left"/>
        <w:rPr>
          <w:rFonts w:ascii="宋体" w:hAnsi="宋体" w:eastAsia="宋体" w:cs="宋体"/>
          <w:color w:val="000000"/>
          <w:kern w:val="0"/>
          <w:szCs w:val="21"/>
          <w:highlight w:val="none"/>
        </w:rPr>
      </w:pPr>
    </w:p>
    <w:p>
      <w:pPr>
        <w:widowControl/>
        <w:snapToGrid w:val="0"/>
        <w:spacing w:line="360" w:lineRule="auto"/>
        <w:ind w:firstLine="424" w:firstLineChars="200"/>
        <w:jc w:val="left"/>
        <w:rPr>
          <w:rFonts w:ascii="宋体" w:hAnsi="宋体" w:eastAsia="宋体" w:cs="宋体"/>
          <w:color w:val="000000"/>
          <w:kern w:val="0"/>
          <w:szCs w:val="21"/>
          <w:highlight w:val="none"/>
        </w:rPr>
      </w:pPr>
    </w:p>
    <w:p>
      <w:pPr>
        <w:widowControl/>
        <w:snapToGrid w:val="0"/>
        <w:spacing w:line="360" w:lineRule="auto"/>
        <w:ind w:firstLine="424" w:firstLineChars="200"/>
        <w:jc w:val="left"/>
        <w:rPr>
          <w:rFonts w:ascii="宋体" w:hAnsi="宋体" w:eastAsia="宋体" w:cs="宋体"/>
          <w:color w:val="000000"/>
          <w:kern w:val="0"/>
          <w:szCs w:val="21"/>
          <w:highlight w:val="none"/>
        </w:rPr>
      </w:pPr>
    </w:p>
    <w:p>
      <w:pPr>
        <w:spacing w:line="420" w:lineRule="exact"/>
        <w:ind w:firstLine="4240" w:firstLineChars="2000"/>
        <w:jc w:val="left"/>
        <w:rPr>
          <w:szCs w:val="21"/>
          <w:highlight w:val="none"/>
        </w:rPr>
      </w:pPr>
    </w:p>
    <w:p>
      <w:pPr>
        <w:spacing w:line="420" w:lineRule="exact"/>
        <w:ind w:firstLine="4240" w:firstLineChars="2000"/>
        <w:jc w:val="left"/>
        <w:rPr>
          <w:szCs w:val="21"/>
          <w:highlight w:val="none"/>
        </w:rPr>
      </w:pPr>
    </w:p>
    <w:p>
      <w:pPr>
        <w:spacing w:line="420" w:lineRule="exact"/>
        <w:ind w:firstLine="4840" w:firstLineChars="2000"/>
        <w:jc w:val="left"/>
        <w:rPr>
          <w:rFonts w:ascii="宋体" w:hAnsi="宋体" w:eastAsia="宋体" w:cs="微软雅黑"/>
          <w:b/>
          <w:sz w:val="24"/>
          <w:szCs w:val="24"/>
          <w:highlight w:val="none"/>
        </w:rPr>
      </w:pPr>
      <w:r>
        <w:rPr>
          <w:rFonts w:hint="eastAsia" w:ascii="宋体" w:hAnsi="宋体" w:eastAsia="宋体" w:cs="微软雅黑"/>
          <w:b/>
          <w:sz w:val="24"/>
          <w:szCs w:val="24"/>
          <w:highlight w:val="none"/>
        </w:rPr>
        <w:t>单位名称：</w:t>
      </w:r>
    </w:p>
    <w:p>
      <w:pPr>
        <w:spacing w:line="420" w:lineRule="exact"/>
        <w:ind w:firstLine="4840" w:firstLineChars="2000"/>
        <w:jc w:val="left"/>
        <w:rPr>
          <w:rFonts w:ascii="宋体" w:hAnsi="宋体" w:eastAsia="宋体" w:cs="微软雅黑"/>
          <w:b/>
          <w:sz w:val="24"/>
          <w:szCs w:val="24"/>
          <w:highlight w:val="none"/>
        </w:rPr>
      </w:pPr>
    </w:p>
    <w:p>
      <w:pPr>
        <w:spacing w:line="420" w:lineRule="exact"/>
        <w:ind w:firstLine="4840" w:firstLineChars="2000"/>
        <w:jc w:val="left"/>
        <w:rPr>
          <w:rFonts w:ascii="宋体" w:hAnsi="宋体" w:eastAsia="宋体" w:cs="微软雅黑"/>
          <w:b/>
          <w:sz w:val="24"/>
          <w:szCs w:val="24"/>
          <w:highlight w:val="none"/>
        </w:rPr>
      </w:pPr>
      <w:r>
        <w:rPr>
          <w:rFonts w:hint="eastAsia" w:ascii="宋体" w:hAnsi="宋体" w:eastAsia="宋体" w:cs="微软雅黑"/>
          <w:b/>
          <w:sz w:val="24"/>
          <w:szCs w:val="24"/>
          <w:highlight w:val="none"/>
        </w:rPr>
        <w:t>项目负责人签字：</w:t>
      </w:r>
    </w:p>
    <w:p>
      <w:pPr>
        <w:spacing w:line="420" w:lineRule="exact"/>
        <w:ind w:firstLine="484" w:firstLineChars="200"/>
        <w:jc w:val="left"/>
        <w:rPr>
          <w:rFonts w:ascii="宋体" w:hAnsi="宋体" w:eastAsia="宋体" w:cs="微软雅黑"/>
          <w:b/>
          <w:sz w:val="24"/>
          <w:szCs w:val="24"/>
          <w:highlight w:val="none"/>
        </w:rPr>
      </w:pPr>
    </w:p>
    <w:p>
      <w:pPr>
        <w:spacing w:line="420" w:lineRule="exact"/>
        <w:ind w:firstLine="4840" w:firstLineChars="2000"/>
        <w:jc w:val="left"/>
        <w:rPr>
          <w:rFonts w:ascii="宋体" w:hAnsi="宋体" w:eastAsia="宋体" w:cs="微软雅黑"/>
          <w:b/>
          <w:sz w:val="24"/>
          <w:szCs w:val="24"/>
          <w:highlight w:val="none"/>
        </w:rPr>
      </w:pPr>
      <w:r>
        <w:rPr>
          <w:rFonts w:hint="eastAsia" w:ascii="宋体" w:hAnsi="宋体" w:eastAsia="宋体" w:cs="微软雅黑"/>
          <w:b/>
          <w:sz w:val="24"/>
          <w:szCs w:val="24"/>
          <w:highlight w:val="none"/>
        </w:rPr>
        <w:t>日期：</w:t>
      </w:r>
    </w:p>
    <w:p>
      <w:pPr>
        <w:widowControl/>
        <w:spacing w:line="360" w:lineRule="auto"/>
        <w:jc w:val="center"/>
        <w:rPr>
          <w:rFonts w:eastAsia="黑体"/>
          <w:b/>
          <w:bCs/>
          <w:sz w:val="24"/>
          <w:szCs w:val="24"/>
          <w:highlight w:val="none"/>
        </w:rPr>
        <w:sectPr>
          <w:headerReference r:id="rId6" w:type="default"/>
          <w:footerReference r:id="rId7" w:type="default"/>
          <w:pgSz w:w="11907" w:h="16840"/>
          <w:pgMar w:top="1089" w:right="1797" w:bottom="935" w:left="1402" w:header="851" w:footer="992" w:gutter="0"/>
          <w:pgNumType w:fmt="numberInDash" w:start="1"/>
          <w:cols w:space="720" w:num="1"/>
          <w:docGrid w:type="linesAndChars" w:linePitch="312" w:charSpace="489"/>
        </w:sectPr>
      </w:pPr>
    </w:p>
    <w:p>
      <w:pPr>
        <w:pStyle w:val="2"/>
      </w:pPr>
    </w:p>
    <w:p>
      <w:pPr>
        <w:widowControl/>
        <w:spacing w:line="360" w:lineRule="auto"/>
        <w:jc w:val="center"/>
        <w:rPr>
          <w:rFonts w:eastAsia="黑体"/>
          <w:sz w:val="32"/>
          <w:szCs w:val="32"/>
          <w:highlight w:val="none"/>
        </w:rPr>
      </w:pPr>
      <w:r>
        <w:rPr>
          <w:rFonts w:eastAsia="黑体"/>
          <w:b/>
          <w:bCs/>
          <w:sz w:val="36"/>
          <w:szCs w:val="36"/>
          <w:highlight w:val="none"/>
        </w:rPr>
        <w:t>目       录</w:t>
      </w:r>
    </w:p>
    <w:p>
      <w:pPr>
        <w:pStyle w:val="15"/>
        <w:tabs>
          <w:tab w:val="right" w:leader="dot" w:pos="8708"/>
        </w:tabs>
        <w:rPr>
          <w:highlight w:val="none"/>
        </w:rPr>
      </w:pPr>
    </w:p>
    <w:sdt>
      <w:sdtPr>
        <w:rPr>
          <w:rFonts w:ascii="宋体" w:hAnsi="宋体" w:eastAsia="宋体" w:cstheme="minorBidi"/>
          <w:kern w:val="2"/>
          <w:sz w:val="21"/>
          <w:szCs w:val="22"/>
          <w:lang w:val="en-US" w:eastAsia="zh-CN" w:bidi="ar-SA"/>
        </w:rPr>
        <w:id w:val="147471298"/>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pStyle w:val="15"/>
            <w:tabs>
              <w:tab w:val="right" w:leader="dot" w:pos="8708"/>
            </w:tabs>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"1-1"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_Toc8291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44"/>
              <w:sz w:val="24"/>
              <w:szCs w:val="24"/>
              <w:highlight w:val="none"/>
            </w:rPr>
            <w:t xml:space="preserve">第一部分 </w:t>
          </w:r>
          <w:r>
            <w:rPr>
              <w:rFonts w:hint="eastAsia" w:asciiTheme="minorEastAsia" w:hAnsiTheme="minorEastAsia" w:eastAsiaTheme="minorEastAsia" w:cstheme="minorEastAsia"/>
              <w:kern w:val="44"/>
              <w:sz w:val="24"/>
              <w:szCs w:val="24"/>
              <w:highlight w:val="none"/>
              <w:lang w:val="en-US" w:eastAsia="zh-CN"/>
            </w:rPr>
            <w:t xml:space="preserve"> </w:t>
          </w:r>
          <w:r>
            <w:rPr>
              <w:rFonts w:hint="eastAsia" w:asciiTheme="minorEastAsia" w:hAnsiTheme="minorEastAsia" w:eastAsiaTheme="minorEastAsia" w:cstheme="minorEastAsia"/>
              <w:kern w:val="44"/>
              <w:sz w:val="24"/>
              <w:szCs w:val="24"/>
              <w:highlight w:val="none"/>
            </w:rPr>
            <w:t>竞争性磋商</w:t>
          </w:r>
          <w:r>
            <w:rPr>
              <w:rFonts w:hint="eastAsia" w:asciiTheme="minorEastAsia" w:hAnsiTheme="minorEastAsia" w:eastAsiaTheme="minorEastAsia" w:cstheme="minorEastAsia"/>
              <w:kern w:val="44"/>
              <w:sz w:val="24"/>
              <w:szCs w:val="24"/>
              <w:highlight w:val="none"/>
              <w:lang w:eastAsia="zh-CN"/>
            </w:rPr>
            <w:t>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5"/>
            <w:keepNext w:val="0"/>
            <w:keepLines w:val="0"/>
            <w:pageBreakBefore w:val="0"/>
            <w:widowControl/>
            <w:tabs>
              <w:tab w:val="right" w:leader="dot" w:pos="870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_Toc15392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第二部分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5"/>
            <w:keepNext w:val="0"/>
            <w:keepLines w:val="0"/>
            <w:pageBreakBefore w:val="0"/>
            <w:widowControl/>
            <w:tabs>
              <w:tab w:val="right" w:leader="dot" w:pos="870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第三部分  货物清单及技术参数或服务要求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5"/>
            <w:keepNext w:val="0"/>
            <w:keepLines w:val="0"/>
            <w:pageBreakBefore w:val="0"/>
            <w:widowControl/>
            <w:tabs>
              <w:tab w:val="right" w:leader="dot" w:pos="870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_Toc7226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 xml:space="preserve">第四部分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主要合同条款及合同格式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_Toc7226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5"/>
            <w:keepNext w:val="0"/>
            <w:keepLines w:val="0"/>
            <w:pageBreakBefore w:val="0"/>
            <w:widowControl/>
            <w:tabs>
              <w:tab w:val="right" w:leader="dot" w:pos="870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_Toc14386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第五部分  响应文件格式及附件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_Toc14386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textAlignment w:val="auto"/>
          </w:pPr>
          <w:r>
            <w:rPr>
              <w:rFonts w:hint="eastAsia" w:asciiTheme="minorEastAsia" w:hAnsiTheme="minorEastAsia" w:eastAsiaTheme="minorEastAsia" w:cstheme="minorEastAsia"/>
              <w:sz w:val="24"/>
              <w:szCs w:val="24"/>
            </w:rPr>
            <w:fldChar w:fldCharType="end"/>
          </w:r>
        </w:p>
      </w:sdtContent>
    </w:sdt>
    <w:p>
      <w:pPr>
        <w:rPr>
          <w:highlight w:val="none"/>
        </w:rPr>
      </w:pPr>
      <w:r>
        <w:rPr>
          <w:highlight w:val="none"/>
        </w:rPr>
        <w:br w:type="page"/>
      </w:r>
      <w:bookmarkStart w:id="64" w:name="_GoBack"/>
      <w:bookmarkEnd w:id="64"/>
    </w:p>
    <w:p>
      <w:pPr>
        <w:rPr>
          <w:highlight w:val="none"/>
        </w:rPr>
      </w:pPr>
    </w:p>
    <w:p>
      <w:pPr>
        <w:pStyle w:val="2"/>
        <w:jc w:val="center"/>
      </w:pPr>
      <w:r>
        <w:rPr>
          <w:rFonts w:hint="eastAsia" w:ascii="黑体" w:hAnsi="黑体" w:eastAsia="黑体" w:cs="黑体"/>
          <w:b/>
          <w:kern w:val="44"/>
          <w:sz w:val="36"/>
          <w:szCs w:val="36"/>
          <w:highlight w:val="none"/>
        </w:rPr>
        <w:t>第一部分 竞争性磋商</w:t>
      </w:r>
      <w:r>
        <w:rPr>
          <w:rFonts w:hint="eastAsia" w:ascii="黑体" w:hAnsi="黑体" w:eastAsia="黑体" w:cs="黑体"/>
          <w:b/>
          <w:kern w:val="44"/>
          <w:sz w:val="36"/>
          <w:szCs w:val="36"/>
          <w:highlight w:val="none"/>
          <w:lang w:val="en-US" w:eastAsia="zh-CN"/>
        </w:rPr>
        <w:t>公告</w:t>
      </w:r>
    </w:p>
    <w:p>
      <w:pPr>
        <w:pBdr>
          <w:top w:val="single" w:color="auto" w:sz="4" w:space="1"/>
          <w:left w:val="single" w:color="auto" w:sz="4" w:space="4"/>
          <w:bottom w:val="single" w:color="auto" w:sz="4" w:space="1"/>
          <w:right w:val="single" w:color="auto" w:sz="4" w:space="4"/>
        </w:pBdr>
        <w:ind w:firstLine="564" w:firstLineChars="200"/>
        <w:rPr>
          <w:rFonts w:hint="eastAsia" w:ascii="宋体" w:hAnsi="宋体" w:eastAsia="宋体" w:cs="宋体"/>
          <w:sz w:val="28"/>
          <w:szCs w:val="28"/>
        </w:rPr>
      </w:pPr>
      <w:bookmarkStart w:id="0" w:name="_Toc21101"/>
      <w:bookmarkStart w:id="1" w:name="_Toc25325"/>
      <w:bookmarkStart w:id="2" w:name="_Toc8291"/>
      <w:r>
        <w:rPr>
          <w:rFonts w:hint="eastAsia" w:ascii="宋体" w:hAnsi="宋体" w:eastAsia="宋体" w:cs="宋体"/>
          <w:sz w:val="28"/>
          <w:szCs w:val="28"/>
        </w:rPr>
        <w:t>项目概况</w:t>
      </w:r>
    </w:p>
    <w:p>
      <w:pPr>
        <w:pBdr>
          <w:top w:val="single" w:color="auto" w:sz="4" w:space="1"/>
          <w:left w:val="single" w:color="auto" w:sz="4" w:space="4"/>
          <w:bottom w:val="single" w:color="auto" w:sz="4" w:space="1"/>
          <w:right w:val="single" w:color="auto" w:sz="4" w:space="4"/>
        </w:pBdr>
        <w:ind w:firstLine="564"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哈尔滨工程大学2020级新生被品采购项目</w:t>
      </w:r>
      <w:r>
        <w:rPr>
          <w:rFonts w:hint="eastAsia" w:ascii="宋体" w:hAnsi="宋体" w:eastAsia="宋体" w:cs="宋体"/>
          <w:sz w:val="28"/>
          <w:szCs w:val="28"/>
        </w:rPr>
        <w:t>的潜在供应商应在</w:t>
      </w:r>
      <w:r>
        <w:rPr>
          <w:rFonts w:hint="eastAsia" w:ascii="宋体" w:hAnsi="宋体" w:eastAsia="宋体" w:cs="宋体"/>
          <w:sz w:val="28"/>
          <w:szCs w:val="28"/>
          <w:u w:val="single"/>
        </w:rPr>
        <w:t>本公告第三部分中按规定方式</w:t>
      </w:r>
      <w:r>
        <w:rPr>
          <w:rFonts w:hint="eastAsia" w:ascii="宋体" w:hAnsi="宋体" w:eastAsia="宋体" w:cs="宋体"/>
          <w:sz w:val="28"/>
          <w:szCs w:val="28"/>
        </w:rPr>
        <w:t>获取采购文件，并于</w:t>
      </w:r>
      <w:r>
        <w:rPr>
          <w:rFonts w:hint="eastAsia" w:ascii="宋体" w:hAnsi="宋体" w:eastAsia="宋体" w:cs="宋体"/>
          <w:sz w:val="28"/>
          <w:szCs w:val="28"/>
          <w:u w:val="single"/>
          <w:lang w:val="en-US" w:eastAsia="zh-CN"/>
        </w:rPr>
        <w:t>2020</w:t>
      </w:r>
      <w:r>
        <w:rPr>
          <w:rFonts w:hint="eastAsia" w:ascii="宋体" w:hAnsi="宋体" w:eastAsia="宋体" w:cs="宋体"/>
          <w:sz w:val="28"/>
          <w:szCs w:val="28"/>
          <w:u w:val="single"/>
        </w:rPr>
        <w:t>年06月</w:t>
      </w:r>
      <w:r>
        <w:rPr>
          <w:rFonts w:hint="eastAsia" w:ascii="宋体" w:hAnsi="宋体" w:eastAsia="宋体" w:cs="宋体"/>
          <w:sz w:val="28"/>
          <w:szCs w:val="28"/>
          <w:u w:val="single"/>
          <w:lang w:val="en-US" w:eastAsia="zh-CN"/>
        </w:rPr>
        <w:t>17</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rPr>
        <w:t>时</w:t>
      </w:r>
      <w:r>
        <w:rPr>
          <w:rFonts w:hint="eastAsia" w:ascii="宋体" w:hAnsi="宋体" w:eastAsia="宋体" w:cs="宋体"/>
          <w:sz w:val="28"/>
          <w:szCs w:val="28"/>
          <w:u w:val="single"/>
          <w:lang w:val="en-US" w:eastAsia="zh-CN"/>
        </w:rPr>
        <w:t>00</w:t>
      </w:r>
      <w:r>
        <w:rPr>
          <w:rFonts w:hint="eastAsia" w:ascii="宋体" w:hAnsi="宋体" w:eastAsia="宋体" w:cs="宋体"/>
          <w:sz w:val="28"/>
          <w:szCs w:val="28"/>
          <w:u w:val="single"/>
        </w:rPr>
        <w:t>分</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p>
      <w:pPr>
        <w:pStyle w:val="6"/>
        <w:spacing w:line="360" w:lineRule="auto"/>
        <w:rPr>
          <w:rFonts w:hint="eastAsia" w:ascii="黑体" w:hAnsi="黑体" w:eastAsia="黑体" w:cs="宋体"/>
          <w:b w:val="0"/>
          <w:sz w:val="28"/>
          <w:szCs w:val="28"/>
          <w:lang w:eastAsia="zh-CN"/>
        </w:rPr>
      </w:pPr>
      <w:bookmarkStart w:id="3" w:name="_Toc35393798"/>
      <w:bookmarkStart w:id="4" w:name="_Toc28359089"/>
      <w:bookmarkStart w:id="5" w:name="_Toc28359012"/>
      <w:bookmarkStart w:id="6" w:name="_Toc35393629"/>
      <w:r>
        <w:rPr>
          <w:rFonts w:hint="eastAsia" w:ascii="黑体" w:hAnsi="黑体" w:cs="宋体"/>
          <w:b w:val="0"/>
          <w:sz w:val="28"/>
          <w:szCs w:val="28"/>
        </w:rPr>
        <w:t>一、项目基本情况</w:t>
      </w:r>
      <w:bookmarkEnd w:id="3"/>
      <w:bookmarkEnd w:id="4"/>
      <w:bookmarkEnd w:id="5"/>
      <w:bookmarkEnd w:id="6"/>
      <w:r>
        <w:rPr>
          <w:rFonts w:hint="eastAsia" w:ascii="黑体" w:hAnsi="黑体" w:cs="宋体"/>
          <w:b w:val="0"/>
          <w:sz w:val="28"/>
          <w:szCs w:val="28"/>
          <w:lang w:eastAsia="zh-CN"/>
        </w:rPr>
        <w:t>：</w:t>
      </w:r>
    </w:p>
    <w:p>
      <w:pPr>
        <w:ind w:firstLine="564" w:firstLineChars="2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ZXDC2020C706</w:t>
      </w:r>
    </w:p>
    <w:p>
      <w:pPr>
        <w:ind w:firstLine="564" w:firstLineChars="2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lang w:eastAsia="zh-CN"/>
        </w:rPr>
        <w:t>哈尔滨工程大学2020级新生被品采购项目</w:t>
      </w:r>
    </w:p>
    <w:p>
      <w:pPr>
        <w:ind w:firstLine="564" w:firstLineChars="200"/>
        <w:rPr>
          <w:rFonts w:hint="eastAsia" w:ascii="宋体" w:hAnsi="宋体" w:eastAsia="宋体" w:cs="宋体"/>
          <w:sz w:val="28"/>
          <w:szCs w:val="28"/>
        </w:rPr>
      </w:pPr>
      <w:r>
        <w:rPr>
          <w:rFonts w:hint="eastAsia" w:ascii="宋体" w:hAnsi="宋体" w:eastAsia="宋体" w:cs="宋体"/>
          <w:sz w:val="28"/>
          <w:szCs w:val="28"/>
        </w:rPr>
        <w:t xml:space="preserve">采购方式：□竞争性谈判 </w:t>
      </w:r>
      <w:r>
        <w:rPr>
          <w:rFonts w:hint="eastAsia" w:ascii="宋体" w:hAnsi="宋体" w:eastAsia="宋体" w:cs="宋体"/>
          <w:sz w:val="28"/>
          <w:szCs w:val="28"/>
          <w:lang w:eastAsia="zh-CN"/>
        </w:rPr>
        <w:t>☑</w:t>
      </w:r>
      <w:r>
        <w:rPr>
          <w:rFonts w:hint="eastAsia" w:ascii="宋体" w:hAnsi="宋体" w:eastAsia="宋体" w:cs="宋体"/>
          <w:sz w:val="28"/>
          <w:szCs w:val="28"/>
        </w:rPr>
        <w:t>竞争性磋商 □询价</w:t>
      </w:r>
    </w:p>
    <w:p>
      <w:pPr>
        <w:ind w:firstLine="564" w:firstLineChars="200"/>
        <w:rPr>
          <w:rFonts w:hint="eastAsia" w:ascii="宋体" w:hAnsi="宋体" w:eastAsia="宋体" w:cs="宋体"/>
          <w:sz w:val="28"/>
          <w:szCs w:val="28"/>
        </w:rPr>
      </w:pPr>
      <w:r>
        <w:rPr>
          <w:rFonts w:hint="eastAsia" w:ascii="宋体" w:hAnsi="宋体" w:eastAsia="宋体" w:cs="宋体"/>
          <w:sz w:val="28"/>
          <w:szCs w:val="28"/>
        </w:rPr>
        <w:t>预算金额：约144.9万元</w:t>
      </w:r>
    </w:p>
    <w:p>
      <w:pPr>
        <w:ind w:firstLine="564" w:firstLineChars="200"/>
        <w:rPr>
          <w:rFonts w:hint="eastAsia" w:ascii="宋体" w:hAnsi="宋体" w:eastAsia="宋体" w:cs="宋体"/>
          <w:sz w:val="28"/>
          <w:szCs w:val="28"/>
          <w:lang w:eastAsia="zh-CN"/>
        </w:rPr>
      </w:pPr>
      <w:r>
        <w:rPr>
          <w:rFonts w:hint="eastAsia" w:ascii="宋体" w:hAnsi="宋体" w:eastAsia="宋体" w:cs="宋体"/>
          <w:sz w:val="28"/>
          <w:szCs w:val="28"/>
        </w:rPr>
        <w:t>采购需求：棉被胎</w:t>
      </w:r>
      <w:r>
        <w:rPr>
          <w:rFonts w:hint="eastAsia" w:ascii="宋体" w:hAnsi="宋体" w:eastAsia="宋体" w:cs="宋体"/>
          <w:sz w:val="28"/>
          <w:szCs w:val="28"/>
          <w:lang w:eastAsia="zh-CN"/>
        </w:rPr>
        <w:t>、</w:t>
      </w:r>
      <w:r>
        <w:rPr>
          <w:rFonts w:hint="eastAsia" w:ascii="宋体" w:hAnsi="宋体" w:eastAsia="宋体" w:cs="宋体"/>
          <w:sz w:val="28"/>
          <w:szCs w:val="28"/>
        </w:rPr>
        <w:t>棉褥胎</w:t>
      </w:r>
      <w:r>
        <w:rPr>
          <w:rFonts w:hint="eastAsia" w:ascii="宋体" w:hAnsi="宋体" w:eastAsia="宋体" w:cs="宋体"/>
          <w:sz w:val="28"/>
          <w:szCs w:val="28"/>
          <w:lang w:eastAsia="zh-CN"/>
        </w:rPr>
        <w:t>、</w:t>
      </w:r>
      <w:r>
        <w:rPr>
          <w:rFonts w:hint="eastAsia" w:ascii="宋体" w:hAnsi="宋体" w:eastAsia="宋体" w:cs="宋体"/>
          <w:sz w:val="28"/>
          <w:szCs w:val="28"/>
        </w:rPr>
        <w:t>被里</w:t>
      </w:r>
      <w:r>
        <w:rPr>
          <w:rFonts w:hint="eastAsia" w:ascii="宋体" w:hAnsi="宋体" w:eastAsia="宋体" w:cs="宋体"/>
          <w:sz w:val="28"/>
          <w:szCs w:val="28"/>
          <w:lang w:eastAsia="zh-CN"/>
        </w:rPr>
        <w:t>、</w:t>
      </w:r>
      <w:r>
        <w:rPr>
          <w:rFonts w:hint="eastAsia" w:ascii="宋体" w:hAnsi="宋体" w:eastAsia="宋体" w:cs="宋体"/>
          <w:sz w:val="28"/>
          <w:szCs w:val="28"/>
        </w:rPr>
        <w:t>褥里</w:t>
      </w:r>
      <w:r>
        <w:rPr>
          <w:rFonts w:hint="eastAsia" w:ascii="宋体" w:hAnsi="宋体" w:eastAsia="宋体" w:cs="宋体"/>
          <w:sz w:val="28"/>
          <w:szCs w:val="28"/>
          <w:lang w:eastAsia="zh-CN"/>
        </w:rPr>
        <w:t>、</w:t>
      </w:r>
      <w:r>
        <w:rPr>
          <w:rFonts w:hint="eastAsia" w:ascii="宋体" w:hAnsi="宋体" w:eastAsia="宋体" w:cs="宋体"/>
          <w:sz w:val="28"/>
          <w:szCs w:val="28"/>
        </w:rPr>
        <w:t>被罩</w:t>
      </w:r>
      <w:r>
        <w:rPr>
          <w:rFonts w:hint="eastAsia" w:ascii="宋体" w:hAnsi="宋体" w:eastAsia="宋体" w:cs="宋体"/>
          <w:sz w:val="28"/>
          <w:szCs w:val="28"/>
          <w:lang w:eastAsia="zh-CN"/>
        </w:rPr>
        <w:t>、</w:t>
      </w:r>
      <w:r>
        <w:rPr>
          <w:rFonts w:hint="eastAsia" w:ascii="宋体" w:hAnsi="宋体" w:eastAsia="宋体" w:cs="宋体"/>
          <w:sz w:val="28"/>
          <w:szCs w:val="28"/>
        </w:rPr>
        <w:t>床单</w:t>
      </w:r>
      <w:r>
        <w:rPr>
          <w:rFonts w:hint="eastAsia" w:ascii="宋体" w:hAnsi="宋体" w:eastAsia="宋体" w:cs="宋体"/>
          <w:sz w:val="28"/>
          <w:szCs w:val="28"/>
          <w:lang w:eastAsia="zh-CN"/>
        </w:rPr>
        <w:t>、</w:t>
      </w:r>
      <w:r>
        <w:rPr>
          <w:rFonts w:hint="eastAsia" w:ascii="宋体" w:hAnsi="宋体" w:eastAsia="宋体" w:cs="宋体"/>
          <w:sz w:val="28"/>
          <w:szCs w:val="28"/>
        </w:rPr>
        <w:t>枕套</w:t>
      </w:r>
      <w:r>
        <w:rPr>
          <w:rFonts w:hint="eastAsia" w:ascii="宋体" w:hAnsi="宋体" w:eastAsia="宋体" w:cs="宋体"/>
          <w:sz w:val="28"/>
          <w:szCs w:val="28"/>
          <w:lang w:eastAsia="zh-CN"/>
        </w:rPr>
        <w:t>、</w:t>
      </w:r>
      <w:r>
        <w:rPr>
          <w:rFonts w:hint="eastAsia" w:ascii="宋体" w:hAnsi="宋体" w:eastAsia="宋体" w:cs="宋体"/>
          <w:sz w:val="28"/>
          <w:szCs w:val="28"/>
        </w:rPr>
        <w:t>枕芯</w:t>
      </w:r>
      <w:r>
        <w:rPr>
          <w:rFonts w:hint="eastAsia" w:ascii="宋体" w:hAnsi="宋体" w:eastAsia="宋体" w:cs="宋体"/>
          <w:sz w:val="28"/>
          <w:szCs w:val="28"/>
          <w:lang w:eastAsia="zh-CN"/>
        </w:rPr>
        <w:t>。</w:t>
      </w:r>
    </w:p>
    <w:p>
      <w:pPr>
        <w:ind w:firstLine="564"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合同履行期限：2020年8月1日以前生产完毕并按采购方要求供货</w:t>
      </w:r>
      <w:r>
        <w:rPr>
          <w:rFonts w:hint="eastAsia" w:ascii="宋体" w:hAnsi="宋体" w:eastAsia="宋体" w:cs="宋体"/>
          <w:sz w:val="28"/>
          <w:szCs w:val="28"/>
          <w:lang w:eastAsia="zh-CN"/>
        </w:rPr>
        <w:t>。</w:t>
      </w:r>
    </w:p>
    <w:p>
      <w:pPr>
        <w:spacing w:line="360" w:lineRule="auto"/>
        <w:ind w:firstLine="564"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sz w:val="28"/>
          <w:szCs w:val="28"/>
          <w:lang w:eastAsia="zh-CN"/>
        </w:rPr>
        <w:t>不</w:t>
      </w:r>
      <w:r>
        <w:rPr>
          <w:rFonts w:hint="eastAsia" w:ascii="宋体" w:hAnsi="宋体" w:eastAsia="宋体" w:cs="宋体"/>
          <w:sz w:val="28"/>
          <w:szCs w:val="28"/>
        </w:rPr>
        <w:t>接受联合体。</w:t>
      </w:r>
    </w:p>
    <w:p>
      <w:pPr>
        <w:pStyle w:val="6"/>
        <w:spacing w:line="360" w:lineRule="auto"/>
        <w:rPr>
          <w:rFonts w:ascii="黑体" w:hAnsi="黑体" w:cs="宋体"/>
          <w:b w:val="0"/>
          <w:sz w:val="28"/>
          <w:szCs w:val="28"/>
        </w:rPr>
      </w:pPr>
      <w:bookmarkStart w:id="7" w:name="_Toc35393799"/>
      <w:bookmarkStart w:id="8" w:name="_Toc28359090"/>
      <w:bookmarkStart w:id="9" w:name="_Toc28359013"/>
      <w:bookmarkStart w:id="10" w:name="_Toc35393630"/>
      <w:r>
        <w:rPr>
          <w:rFonts w:hint="eastAsia" w:ascii="黑体" w:hAnsi="黑体" w:cs="宋体"/>
          <w:b w:val="0"/>
          <w:sz w:val="28"/>
          <w:szCs w:val="28"/>
        </w:rPr>
        <w:t>二、申请人的资格要求：</w:t>
      </w:r>
      <w:bookmarkEnd w:id="7"/>
      <w:bookmarkEnd w:id="8"/>
      <w:bookmarkEnd w:id="9"/>
      <w:bookmarkEnd w:id="10"/>
    </w:p>
    <w:p>
      <w:pPr>
        <w:ind w:firstLine="564"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ind w:firstLine="564" w:firstLineChars="200"/>
        <w:rPr>
          <w:rFonts w:hint="eastAsia" w:ascii="宋体" w:hAnsi="宋体" w:eastAsia="宋体" w:cs="宋体"/>
          <w:sz w:val="28"/>
          <w:szCs w:val="28"/>
          <w:u w:val="single"/>
          <w:lang w:eastAsia="zh-CN"/>
        </w:rPr>
      </w:pPr>
      <w:bookmarkStart w:id="11" w:name="_Toc28359014"/>
      <w:bookmarkStart w:id="12" w:name="_Toc28359091"/>
      <w:r>
        <w:rPr>
          <w:rFonts w:hint="eastAsia" w:ascii="宋体" w:hAnsi="宋体" w:eastAsia="宋体" w:cs="宋体"/>
          <w:sz w:val="28"/>
          <w:szCs w:val="28"/>
        </w:rPr>
        <w:t>2.落实政府采购政策需满足的资格要求：</w:t>
      </w:r>
      <w:r>
        <w:rPr>
          <w:rFonts w:hint="eastAsia" w:ascii="宋体" w:hAnsi="宋体" w:eastAsia="宋体" w:cs="宋体"/>
          <w:sz w:val="28"/>
          <w:szCs w:val="28"/>
          <w:u w:val="single"/>
          <w:lang w:eastAsia="zh-CN"/>
        </w:rPr>
        <w:t>无</w:t>
      </w:r>
    </w:p>
    <w:p>
      <w:pPr>
        <w:snapToGrid w:val="0"/>
        <w:spacing w:line="500" w:lineRule="exact"/>
        <w:ind w:firstLine="564"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pPr>
        <w:snapToGrid w:val="0"/>
        <w:spacing w:line="500" w:lineRule="exact"/>
        <w:ind w:firstLine="564" w:firstLineChars="200"/>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、拟参加本项目磋商的潜在供应商应具备相应的生产能力；</w:t>
      </w:r>
    </w:p>
    <w:p>
      <w:pPr>
        <w:snapToGrid w:val="0"/>
        <w:spacing w:line="500" w:lineRule="exact"/>
        <w:ind w:firstLine="564"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snapToGrid w:val="0"/>
        <w:spacing w:line="500" w:lineRule="exact"/>
        <w:ind w:firstLine="564"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1）“信用中国”网站（www.creditchina.gov.cn）；</w:t>
      </w:r>
    </w:p>
    <w:p>
      <w:pPr>
        <w:snapToGrid w:val="0"/>
        <w:spacing w:line="500" w:lineRule="exact"/>
        <w:ind w:firstLine="564"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2）“中国政府采购网”（www.ccgp.gov.cn/cr/list）；</w:t>
      </w:r>
    </w:p>
    <w:p>
      <w:pPr>
        <w:snapToGrid w:val="0"/>
        <w:spacing w:line="500" w:lineRule="exact"/>
        <w:ind w:firstLine="564" w:firstLineChars="200"/>
        <w:rPr>
          <w:rFonts w:hint="eastAsia" w:ascii="宋体" w:hAnsi="宋体" w:eastAsia="宋体" w:cs="宋体"/>
          <w:spacing w:val="-20"/>
          <w:kern w:val="0"/>
          <w:sz w:val="28"/>
          <w:szCs w:val="28"/>
          <w:lang w:val="en-US" w:eastAsia="zh-CN" w:bidi="ar-SA"/>
        </w:rPr>
      </w:pPr>
      <w:r>
        <w:rPr>
          <w:rFonts w:hint="eastAsia" w:ascii="宋体" w:hAnsi="宋体" w:eastAsia="宋体" w:cs="宋体"/>
          <w:sz w:val="28"/>
          <w:szCs w:val="28"/>
          <w:lang w:val="en-US" w:eastAsia="zh-CN"/>
        </w:rPr>
        <w:t>3）</w:t>
      </w:r>
      <w:r>
        <w:rPr>
          <w:rFonts w:hint="eastAsia" w:ascii="宋体" w:hAnsi="宋体" w:eastAsia="宋体" w:cs="宋体"/>
          <w:spacing w:val="-20"/>
          <w:kern w:val="0"/>
          <w:sz w:val="28"/>
          <w:szCs w:val="28"/>
          <w:lang w:val="en-US" w:eastAsia="zh-CN" w:bidi="ar-SA"/>
        </w:rPr>
        <w:t>“国家企业信用信息公示系统”（http://www.gsxt.gov.cn/index.html）；</w:t>
      </w:r>
    </w:p>
    <w:p>
      <w:pPr>
        <w:snapToGrid w:val="0"/>
        <w:spacing w:line="500" w:lineRule="exact"/>
        <w:ind w:firstLine="564" w:firstLineChars="200"/>
        <w:rPr>
          <w:rFonts w:hint="eastAsia" w:ascii="宋体" w:hAnsi="宋体" w:eastAsia="宋体" w:cs="宋体"/>
          <w:sz w:val="28"/>
          <w:szCs w:val="28"/>
        </w:rPr>
      </w:pPr>
      <w:r>
        <w:rPr>
          <w:rFonts w:hint="eastAsia" w:ascii="宋体" w:hAnsi="宋体" w:eastAsia="宋体" w:cs="宋体"/>
          <w:sz w:val="28"/>
          <w:szCs w:val="28"/>
          <w:lang w:val="en-US" w:eastAsia="zh-CN"/>
        </w:rPr>
        <w:t>注：供应商应在响应文件中提供‘没有重</w:t>
      </w:r>
      <w:r>
        <w:rPr>
          <w:rFonts w:hint="eastAsia" w:ascii="宋体" w:hAnsi="宋体" w:eastAsia="宋体" w:cs="宋体"/>
          <w:sz w:val="28"/>
          <w:szCs w:val="28"/>
          <w:lang w:eastAsia="zh-CN"/>
        </w:rPr>
        <w:t>大违法记录的声明’</w:t>
      </w:r>
      <w:r>
        <w:rPr>
          <w:rFonts w:hint="eastAsia" w:ascii="宋体" w:hAnsi="宋体" w:eastAsia="宋体" w:cs="宋体"/>
          <w:sz w:val="28"/>
          <w:szCs w:val="28"/>
          <w:lang w:val="en-US" w:eastAsia="zh-CN"/>
        </w:rPr>
        <w:t>；</w:t>
      </w:r>
    </w:p>
    <w:p>
      <w:pPr>
        <w:snapToGrid w:val="0"/>
        <w:spacing w:line="500" w:lineRule="exact"/>
        <w:ind w:firstLine="564"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、参加磋商的供应商代表必须是法定代表人或法定代表人授权代表；</w:t>
      </w:r>
    </w:p>
    <w:p>
      <w:pPr>
        <w:pStyle w:val="6"/>
        <w:spacing w:line="360" w:lineRule="auto"/>
        <w:rPr>
          <w:rFonts w:hint="eastAsia" w:ascii="黑体" w:hAnsi="黑体" w:eastAsia="黑体" w:cs="宋体"/>
          <w:b w:val="0"/>
          <w:sz w:val="28"/>
          <w:szCs w:val="28"/>
          <w:lang w:eastAsia="zh-CN"/>
        </w:rPr>
      </w:pPr>
      <w:bookmarkStart w:id="13" w:name="_Toc35393631"/>
      <w:bookmarkStart w:id="14" w:name="_Toc35393800"/>
      <w:r>
        <w:rPr>
          <w:rFonts w:hint="eastAsia" w:ascii="黑体" w:hAnsi="黑体" w:cs="宋体"/>
          <w:b w:val="0"/>
          <w:sz w:val="28"/>
          <w:szCs w:val="28"/>
        </w:rPr>
        <w:t>三、获取采购文件</w:t>
      </w:r>
      <w:bookmarkEnd w:id="11"/>
      <w:bookmarkEnd w:id="12"/>
      <w:bookmarkEnd w:id="13"/>
      <w:bookmarkEnd w:id="14"/>
      <w:r>
        <w:rPr>
          <w:rFonts w:hint="eastAsia" w:ascii="黑体" w:hAnsi="黑体" w:cs="宋体"/>
          <w:b w:val="0"/>
          <w:sz w:val="28"/>
          <w:szCs w:val="28"/>
          <w:lang w:eastAsia="zh-CN"/>
        </w:rPr>
        <w:t>：</w:t>
      </w:r>
    </w:p>
    <w:p>
      <w:pPr>
        <w:spacing w:line="360" w:lineRule="auto"/>
        <w:ind w:firstLine="540"/>
        <w:rPr>
          <w:rFonts w:hint="eastAsia" w:ascii="宋体" w:hAnsi="宋体" w:eastAsia="宋体" w:cs="宋体"/>
          <w:sz w:val="28"/>
          <w:szCs w:val="28"/>
          <w:lang w:eastAsia="zh-CN"/>
        </w:rPr>
      </w:pPr>
      <w:r>
        <w:rPr>
          <w:rFonts w:hint="eastAsia" w:ascii="宋体" w:hAnsi="宋体" w:eastAsia="宋体" w:cs="宋体"/>
          <w:sz w:val="28"/>
          <w:szCs w:val="28"/>
        </w:rPr>
        <w:t>时间：本项目因受疫情影响，故采用线上发售标书凡有意参加磋商的供应商，如资格条件符合本项目“申请人的资格要求”并确定参加本次磋商活动，于</w:t>
      </w:r>
      <w:r>
        <w:rPr>
          <w:rFonts w:hint="eastAsia" w:ascii="宋体" w:hAnsi="宋体" w:eastAsia="宋体" w:cs="宋体"/>
          <w:sz w:val="28"/>
          <w:szCs w:val="28"/>
          <w:u w:val="single"/>
        </w:rPr>
        <w:t>2020年</w:t>
      </w:r>
      <w:r>
        <w:rPr>
          <w:rFonts w:hint="eastAsia" w:ascii="宋体" w:hAnsi="宋体" w:eastAsia="宋体" w:cs="宋体"/>
          <w:sz w:val="28"/>
          <w:szCs w:val="28"/>
          <w:u w:val="single"/>
          <w:lang w:val="en-US" w:eastAsia="zh-CN"/>
        </w:rPr>
        <w:t>05</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29</w:t>
      </w:r>
      <w:r>
        <w:rPr>
          <w:rFonts w:hint="eastAsia" w:ascii="宋体" w:hAnsi="宋体" w:eastAsia="宋体" w:cs="宋体"/>
          <w:sz w:val="28"/>
          <w:szCs w:val="28"/>
          <w:u w:val="single"/>
        </w:rPr>
        <w:t>日至2020年</w:t>
      </w:r>
      <w:r>
        <w:rPr>
          <w:rFonts w:hint="eastAsia" w:ascii="宋体" w:hAnsi="宋体" w:eastAsia="宋体" w:cs="宋体"/>
          <w:sz w:val="28"/>
          <w:szCs w:val="28"/>
          <w:u w:val="single"/>
          <w:lang w:val="en-US" w:eastAsia="zh-CN"/>
        </w:rPr>
        <w:t>06</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04</w:t>
      </w:r>
      <w:r>
        <w:rPr>
          <w:rFonts w:hint="eastAsia" w:ascii="宋体" w:hAnsi="宋体" w:eastAsia="宋体" w:cs="宋体"/>
          <w:sz w:val="28"/>
          <w:szCs w:val="28"/>
          <w:u w:val="single"/>
        </w:rPr>
        <w:t>日</w:t>
      </w:r>
      <w:r>
        <w:rPr>
          <w:rFonts w:hint="eastAsia" w:ascii="宋体" w:hAnsi="宋体" w:eastAsia="宋体" w:cs="宋体"/>
          <w:sz w:val="28"/>
          <w:szCs w:val="28"/>
        </w:rPr>
        <w:t>，每天</w:t>
      </w:r>
      <w:r>
        <w:rPr>
          <w:rFonts w:hint="eastAsia" w:ascii="宋体" w:hAnsi="宋体" w:eastAsia="宋体" w:cs="宋体"/>
          <w:sz w:val="28"/>
          <w:szCs w:val="28"/>
          <w:u w:val="single"/>
          <w:lang w:val="en-US" w:eastAsia="zh-CN"/>
        </w:rPr>
        <w:t>08：30至11：00，下午13：30至16：30</w:t>
      </w:r>
      <w:r>
        <w:rPr>
          <w:rFonts w:hint="eastAsia" w:ascii="宋体" w:hAnsi="宋体" w:eastAsia="宋体" w:cs="宋体"/>
          <w:sz w:val="28"/>
          <w:szCs w:val="28"/>
          <w:u w:val="single"/>
        </w:rPr>
        <w:t>（</w:t>
      </w:r>
      <w:r>
        <w:rPr>
          <w:rFonts w:hint="eastAsia" w:ascii="宋体" w:hAnsi="宋体" w:eastAsia="宋体" w:cs="宋体"/>
          <w:sz w:val="28"/>
          <w:szCs w:val="28"/>
        </w:rPr>
        <w:t>北京时间，法定节假日除外）获取由代理机构提供电子版本磋商文件，逾期不予受理</w:t>
      </w:r>
      <w:r>
        <w:rPr>
          <w:rFonts w:hint="eastAsia" w:ascii="宋体" w:hAnsi="宋体" w:eastAsia="宋体" w:cs="宋体"/>
          <w:sz w:val="28"/>
          <w:szCs w:val="28"/>
          <w:lang w:eastAsia="zh-CN"/>
        </w:rPr>
        <w:t>。</w:t>
      </w:r>
    </w:p>
    <w:p>
      <w:pPr>
        <w:spacing w:line="360" w:lineRule="auto"/>
        <w:ind w:firstLine="540"/>
        <w:rPr>
          <w:rFonts w:hint="eastAsia" w:ascii="宋体" w:hAnsi="宋体" w:eastAsia="宋体" w:cs="宋体"/>
          <w:sz w:val="28"/>
          <w:szCs w:val="28"/>
          <w:lang w:eastAsia="zh-CN"/>
        </w:rPr>
      </w:pPr>
      <w:bookmarkStart w:id="15" w:name="_Toc35393801"/>
      <w:bookmarkStart w:id="16" w:name="_Toc28359092"/>
      <w:bookmarkStart w:id="17" w:name="_Toc28359015"/>
      <w:bookmarkStart w:id="18" w:name="_Toc35393632"/>
      <w:r>
        <w:rPr>
          <w:rFonts w:hint="eastAsia" w:ascii="宋体" w:hAnsi="宋体" w:eastAsia="宋体" w:cs="宋体"/>
          <w:sz w:val="28"/>
          <w:szCs w:val="28"/>
        </w:rPr>
        <w:t>标书费汇款信息及账户</w:t>
      </w:r>
      <w:r>
        <w:rPr>
          <w:rFonts w:hint="eastAsia" w:ascii="宋体" w:hAnsi="宋体" w:eastAsia="宋体" w:cs="宋体"/>
          <w:sz w:val="28"/>
          <w:szCs w:val="28"/>
          <w:lang w:eastAsia="zh-CN"/>
        </w:rPr>
        <w:t>：</w:t>
      </w:r>
    </w:p>
    <w:p>
      <w:pPr>
        <w:spacing w:line="360" w:lineRule="auto"/>
        <w:ind w:left="563" w:leftChars="266" w:firstLine="0" w:firstLineChars="0"/>
        <w:rPr>
          <w:rFonts w:hint="eastAsia" w:ascii="宋体" w:hAnsi="宋体" w:eastAsia="宋体" w:cs="宋体"/>
          <w:sz w:val="28"/>
          <w:szCs w:val="28"/>
        </w:rPr>
      </w:pPr>
      <w:r>
        <w:rPr>
          <w:rFonts w:hint="eastAsia" w:ascii="宋体" w:hAnsi="宋体" w:eastAsia="宋体" w:cs="宋体"/>
          <w:sz w:val="28"/>
          <w:szCs w:val="28"/>
        </w:rPr>
        <w:t>户名：正信伟业工程咨询管理有限公司</w:t>
      </w:r>
      <w:r>
        <w:rPr>
          <w:rFonts w:hint="eastAsia" w:ascii="宋体" w:hAnsi="宋体" w:eastAsia="宋体" w:cs="宋体"/>
          <w:sz w:val="28"/>
          <w:szCs w:val="28"/>
        </w:rPr>
        <w:br w:type="textWrapping"/>
      </w:r>
      <w:r>
        <w:rPr>
          <w:rFonts w:hint="eastAsia" w:ascii="宋体" w:hAnsi="宋体" w:eastAsia="宋体" w:cs="宋体"/>
          <w:sz w:val="28"/>
          <w:szCs w:val="28"/>
        </w:rPr>
        <w:t>开户行：上海浦东发展银行哈尔滨分行营业部</w:t>
      </w:r>
      <w:r>
        <w:rPr>
          <w:rFonts w:hint="eastAsia" w:ascii="宋体" w:hAnsi="宋体" w:eastAsia="宋体" w:cs="宋体"/>
          <w:sz w:val="28"/>
          <w:szCs w:val="28"/>
        </w:rPr>
        <w:br w:type="textWrapping"/>
      </w:r>
      <w:r>
        <w:rPr>
          <w:rFonts w:hint="eastAsia" w:ascii="宋体" w:hAnsi="宋体" w:eastAsia="宋体" w:cs="宋体"/>
          <w:sz w:val="28"/>
          <w:szCs w:val="28"/>
        </w:rPr>
        <w:t>账号：65010155100001712</w:t>
      </w:r>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递交方式：从供应商企业基本账户进行转账的形式交纳。</w:t>
      </w:r>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注：汇款时需备注</w:t>
      </w:r>
      <w:r>
        <w:rPr>
          <w:rFonts w:hint="eastAsia" w:ascii="宋体" w:hAnsi="宋体" w:eastAsia="宋体" w:cs="宋体"/>
          <w:sz w:val="28"/>
          <w:szCs w:val="28"/>
          <w:lang w:eastAsia="zh-CN"/>
        </w:rPr>
        <w:t>哈尔滨工程大学2020级新生被品采购项目</w:t>
      </w:r>
      <w:r>
        <w:rPr>
          <w:rFonts w:hint="eastAsia" w:ascii="宋体" w:hAnsi="宋体" w:eastAsia="宋体" w:cs="宋体"/>
          <w:sz w:val="28"/>
          <w:szCs w:val="28"/>
        </w:rPr>
        <w:t>标书费</w:t>
      </w:r>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方式：线上发售</w:t>
      </w:r>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售价：500元/本。</w:t>
      </w:r>
    </w:p>
    <w:p>
      <w:pPr>
        <w:pStyle w:val="2"/>
        <w:ind w:firstLine="564"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注：请符合本项目资格条件的潜在供应商在前款规定的采购文件获取期限内将“①本项目的项目名称、②潜在供应商单位名称（全称）、③联系人、④联系电话（手机）、⑤磋商文件费网上汇款成功截图”等准确信息，一并发送至邮箱zxwyzb7@163.com。</w:t>
      </w:r>
    </w:p>
    <w:p>
      <w:pPr>
        <w:pStyle w:val="2"/>
        <w:rPr>
          <w:rFonts w:hint="eastAsia"/>
        </w:rPr>
      </w:pPr>
    </w:p>
    <w:p>
      <w:pPr>
        <w:pStyle w:val="6"/>
        <w:spacing w:line="360" w:lineRule="auto"/>
        <w:rPr>
          <w:rFonts w:hint="eastAsia" w:ascii="黑体" w:hAnsi="黑体" w:eastAsia="黑体" w:cs="宋体"/>
          <w:b w:val="0"/>
          <w:sz w:val="28"/>
          <w:szCs w:val="28"/>
          <w:lang w:eastAsia="zh-CN"/>
        </w:rPr>
      </w:pPr>
      <w:r>
        <w:rPr>
          <w:rFonts w:hint="eastAsia" w:ascii="黑体" w:hAnsi="黑体" w:cs="宋体"/>
          <w:b w:val="0"/>
          <w:sz w:val="28"/>
          <w:szCs w:val="28"/>
        </w:rPr>
        <w:t>四、响应文件提交</w:t>
      </w:r>
      <w:bookmarkEnd w:id="15"/>
      <w:bookmarkEnd w:id="16"/>
      <w:bookmarkEnd w:id="17"/>
      <w:bookmarkEnd w:id="18"/>
      <w:r>
        <w:rPr>
          <w:rFonts w:hint="eastAsia" w:ascii="黑体" w:hAnsi="黑体" w:cs="宋体"/>
          <w:b w:val="0"/>
          <w:sz w:val="28"/>
          <w:szCs w:val="28"/>
          <w:lang w:eastAsia="zh-CN"/>
        </w:rPr>
        <w:t>：</w:t>
      </w:r>
    </w:p>
    <w:p>
      <w:pPr>
        <w:ind w:firstLine="564" w:firstLineChars="200"/>
        <w:rPr>
          <w:rFonts w:hint="eastAsia" w:ascii="宋体" w:hAnsi="宋体" w:eastAsia="宋体" w:cs="宋体"/>
          <w:bCs/>
          <w:sz w:val="28"/>
          <w:szCs w:val="28"/>
          <w:u w:val="single"/>
        </w:rPr>
      </w:pPr>
      <w:r>
        <w:rPr>
          <w:rFonts w:hint="eastAsia" w:ascii="宋体" w:hAnsi="宋体" w:eastAsia="宋体" w:cs="宋体"/>
          <w:sz w:val="28"/>
          <w:szCs w:val="28"/>
        </w:rPr>
        <w:t>截止时间：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2020</w:t>
      </w:r>
      <w:r>
        <w:rPr>
          <w:rFonts w:hint="eastAsia" w:ascii="宋体" w:hAnsi="宋体" w:eastAsia="宋体" w:cs="宋体"/>
          <w:sz w:val="28"/>
          <w:szCs w:val="28"/>
          <w:u w:val="single"/>
        </w:rPr>
        <w:t>年06月</w:t>
      </w:r>
      <w:r>
        <w:rPr>
          <w:rFonts w:hint="eastAsia" w:ascii="宋体" w:hAnsi="宋体" w:eastAsia="宋体" w:cs="宋体"/>
          <w:sz w:val="28"/>
          <w:szCs w:val="28"/>
          <w:u w:val="single"/>
          <w:lang w:val="en-US" w:eastAsia="zh-CN"/>
        </w:rPr>
        <w:t>17</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rPr>
        <w:t>时</w:t>
      </w:r>
      <w:r>
        <w:rPr>
          <w:rFonts w:hint="eastAsia" w:ascii="宋体" w:hAnsi="宋体" w:eastAsia="宋体" w:cs="宋体"/>
          <w:sz w:val="28"/>
          <w:szCs w:val="28"/>
          <w:u w:val="single"/>
          <w:lang w:val="en-US" w:eastAsia="zh-CN"/>
        </w:rPr>
        <w:t>00</w:t>
      </w:r>
      <w:r>
        <w:rPr>
          <w:rFonts w:hint="eastAsia" w:ascii="宋体" w:hAnsi="宋体" w:eastAsia="宋体" w:cs="宋体"/>
          <w:sz w:val="28"/>
          <w:szCs w:val="28"/>
          <w:u w:val="single"/>
        </w:rPr>
        <w:t>分</w:t>
      </w:r>
      <w:r>
        <w:rPr>
          <w:rFonts w:hint="eastAsia" w:ascii="宋体" w:hAnsi="宋体" w:eastAsia="宋体" w:cs="宋体"/>
          <w:bCs/>
          <w:sz w:val="28"/>
          <w:szCs w:val="28"/>
        </w:rPr>
        <w:t>（北京时间）</w:t>
      </w:r>
    </w:p>
    <w:p>
      <w:pPr>
        <w:ind w:firstLine="564" w:firstLineChars="200"/>
        <w:rPr>
          <w:rFonts w:hint="eastAsia" w:ascii="宋体" w:hAnsi="宋体" w:eastAsia="宋体" w:cs="宋体"/>
          <w:bCs/>
          <w:sz w:val="28"/>
          <w:szCs w:val="28"/>
          <w:u w:val="single"/>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点：</w:t>
      </w:r>
      <w:r>
        <w:rPr>
          <w:rFonts w:hint="eastAsia" w:ascii="宋体" w:hAnsi="宋体" w:eastAsia="宋体" w:cs="宋体"/>
          <w:sz w:val="28"/>
          <w:szCs w:val="28"/>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lang w:eastAsia="zh-CN"/>
        </w:rPr>
      </w:pPr>
      <w:bookmarkStart w:id="19" w:name="_Toc35393633"/>
      <w:bookmarkStart w:id="20" w:name="_Toc28359093"/>
      <w:bookmarkStart w:id="21" w:name="_Toc35393802"/>
      <w:bookmarkStart w:id="22" w:name="_Toc28359016"/>
      <w:r>
        <w:rPr>
          <w:rFonts w:hint="eastAsia" w:ascii="黑体" w:hAnsi="黑体" w:cs="宋体"/>
          <w:b w:val="0"/>
          <w:sz w:val="28"/>
          <w:szCs w:val="28"/>
        </w:rPr>
        <w:t>五、开启</w:t>
      </w:r>
      <w:bookmarkEnd w:id="19"/>
      <w:bookmarkEnd w:id="20"/>
      <w:bookmarkEnd w:id="21"/>
      <w:bookmarkEnd w:id="22"/>
      <w:r>
        <w:rPr>
          <w:rFonts w:hint="eastAsia" w:ascii="黑体" w:hAnsi="黑体" w:cs="宋体"/>
          <w:b w:val="0"/>
          <w:sz w:val="28"/>
          <w:szCs w:val="28"/>
          <w:lang w:eastAsia="zh-CN"/>
        </w:rPr>
        <w:t>：</w:t>
      </w:r>
    </w:p>
    <w:p>
      <w:pPr>
        <w:ind w:firstLine="564" w:firstLineChars="200"/>
        <w:rPr>
          <w:rFonts w:hint="eastAsia" w:ascii="宋体" w:hAnsi="宋体" w:eastAsia="宋体" w:cs="宋体"/>
          <w:bCs/>
          <w:sz w:val="28"/>
          <w:szCs w:val="28"/>
          <w:u w:val="single"/>
        </w:rPr>
      </w:pPr>
      <w:r>
        <w:rPr>
          <w:rFonts w:hint="eastAsia" w:ascii="宋体" w:hAnsi="宋体" w:eastAsia="宋体" w:cs="宋体"/>
          <w:sz w:val="28"/>
          <w:szCs w:val="28"/>
        </w:rPr>
        <w:t>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2020</w:t>
      </w:r>
      <w:r>
        <w:rPr>
          <w:rFonts w:hint="eastAsia" w:ascii="宋体" w:hAnsi="宋体" w:eastAsia="宋体" w:cs="宋体"/>
          <w:sz w:val="28"/>
          <w:szCs w:val="28"/>
          <w:u w:val="single"/>
        </w:rPr>
        <w:t>年06月</w:t>
      </w:r>
      <w:r>
        <w:rPr>
          <w:rFonts w:hint="eastAsia" w:ascii="宋体" w:hAnsi="宋体" w:eastAsia="宋体" w:cs="宋体"/>
          <w:sz w:val="28"/>
          <w:szCs w:val="28"/>
          <w:u w:val="single"/>
          <w:lang w:val="en-US" w:eastAsia="zh-CN"/>
        </w:rPr>
        <w:t>17</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rPr>
        <w:t>时</w:t>
      </w:r>
      <w:r>
        <w:rPr>
          <w:rFonts w:hint="eastAsia" w:ascii="宋体" w:hAnsi="宋体" w:eastAsia="宋体" w:cs="宋体"/>
          <w:sz w:val="28"/>
          <w:szCs w:val="28"/>
          <w:u w:val="single"/>
          <w:lang w:val="en-US" w:eastAsia="zh-CN"/>
        </w:rPr>
        <w:t>00</w:t>
      </w:r>
      <w:r>
        <w:rPr>
          <w:rFonts w:hint="eastAsia" w:ascii="宋体" w:hAnsi="宋体" w:eastAsia="宋体" w:cs="宋体"/>
          <w:sz w:val="28"/>
          <w:szCs w:val="28"/>
          <w:u w:val="single"/>
        </w:rPr>
        <w:t>分</w:t>
      </w:r>
      <w:r>
        <w:rPr>
          <w:rFonts w:hint="eastAsia" w:ascii="宋体" w:hAnsi="宋体" w:eastAsia="宋体" w:cs="宋体"/>
          <w:bCs/>
          <w:sz w:val="28"/>
          <w:szCs w:val="28"/>
        </w:rPr>
        <w:t>（北京时间）</w:t>
      </w:r>
    </w:p>
    <w:p>
      <w:pPr>
        <w:ind w:firstLine="564" w:firstLineChars="200"/>
        <w:rPr>
          <w:rFonts w:hint="eastAsia" w:ascii="宋体" w:hAnsi="宋体" w:eastAsia="宋体" w:cs="宋体"/>
          <w:bCs/>
          <w:sz w:val="28"/>
          <w:szCs w:val="28"/>
          <w:u w:val="single"/>
        </w:rPr>
      </w:pPr>
      <w:r>
        <w:rPr>
          <w:rFonts w:hint="eastAsia" w:ascii="宋体" w:hAnsi="宋体" w:eastAsia="宋体" w:cs="宋体"/>
          <w:sz w:val="28"/>
          <w:szCs w:val="28"/>
        </w:rPr>
        <w:t>地点：</w:t>
      </w:r>
      <w:r>
        <w:rPr>
          <w:rFonts w:hint="eastAsia" w:ascii="宋体" w:hAnsi="宋体" w:eastAsia="宋体" w:cs="宋体"/>
          <w:sz w:val="28"/>
          <w:szCs w:val="28"/>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lang w:eastAsia="zh-CN"/>
        </w:rPr>
      </w:pPr>
      <w:bookmarkStart w:id="23" w:name="_Toc35393803"/>
      <w:bookmarkStart w:id="24" w:name="_Toc28359094"/>
      <w:bookmarkStart w:id="25" w:name="_Toc28359017"/>
      <w:bookmarkStart w:id="26" w:name="_Toc35393634"/>
      <w:r>
        <w:rPr>
          <w:rFonts w:hint="eastAsia" w:ascii="黑体" w:hAnsi="黑体" w:cs="宋体"/>
          <w:b w:val="0"/>
          <w:sz w:val="28"/>
          <w:szCs w:val="28"/>
        </w:rPr>
        <w:t>六、公告期限</w:t>
      </w:r>
      <w:bookmarkEnd w:id="23"/>
      <w:bookmarkEnd w:id="24"/>
      <w:bookmarkEnd w:id="25"/>
      <w:bookmarkEnd w:id="26"/>
      <w:r>
        <w:rPr>
          <w:rFonts w:hint="eastAsia" w:ascii="黑体" w:hAnsi="黑体" w:cs="宋体"/>
          <w:b w:val="0"/>
          <w:sz w:val="28"/>
          <w:szCs w:val="28"/>
          <w:lang w:eastAsia="zh-CN"/>
        </w:rPr>
        <w:t>：</w:t>
      </w:r>
    </w:p>
    <w:p>
      <w:pPr>
        <w:ind w:firstLine="564" w:firstLineChars="200"/>
        <w:rPr>
          <w:rFonts w:hint="eastAsia" w:ascii="宋体" w:hAnsi="宋体" w:eastAsia="宋体" w:cs="宋体"/>
          <w:kern w:val="0"/>
          <w:sz w:val="28"/>
          <w:szCs w:val="28"/>
        </w:rPr>
      </w:pPr>
      <w:r>
        <w:rPr>
          <w:rFonts w:hint="eastAsia" w:ascii="宋体" w:hAnsi="宋体" w:eastAsia="宋体" w:cs="宋体"/>
          <w:kern w:val="0"/>
          <w:sz w:val="28"/>
          <w:szCs w:val="28"/>
        </w:rPr>
        <w:t>2020年</w:t>
      </w:r>
      <w:r>
        <w:rPr>
          <w:rFonts w:hint="eastAsia" w:ascii="宋体" w:hAnsi="宋体" w:eastAsia="宋体" w:cs="宋体"/>
          <w:kern w:val="0"/>
          <w:sz w:val="28"/>
          <w:szCs w:val="28"/>
          <w:lang w:val="en-US" w:eastAsia="zh-CN"/>
        </w:rPr>
        <w:t>05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日至2020年</w:t>
      </w:r>
      <w:r>
        <w:rPr>
          <w:rFonts w:hint="eastAsia" w:ascii="宋体" w:hAnsi="宋体" w:eastAsia="宋体" w:cs="宋体"/>
          <w:kern w:val="0"/>
          <w:sz w:val="28"/>
          <w:szCs w:val="28"/>
          <w:lang w:val="en-US" w:eastAsia="zh-CN"/>
        </w:rPr>
        <w:t>06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04</w:t>
      </w:r>
      <w:r>
        <w:rPr>
          <w:rFonts w:hint="eastAsia" w:ascii="宋体" w:hAnsi="宋体" w:eastAsia="宋体" w:cs="宋体"/>
          <w:kern w:val="0"/>
          <w:sz w:val="28"/>
          <w:szCs w:val="28"/>
        </w:rPr>
        <w:t>日。</w:t>
      </w:r>
    </w:p>
    <w:p>
      <w:pPr>
        <w:pStyle w:val="6"/>
        <w:spacing w:line="360" w:lineRule="auto"/>
        <w:rPr>
          <w:rFonts w:hint="eastAsia" w:ascii="黑体" w:hAnsi="黑体" w:cs="宋体"/>
          <w:b w:val="0"/>
          <w:sz w:val="28"/>
          <w:szCs w:val="28"/>
          <w:lang w:eastAsia="zh-CN"/>
        </w:rPr>
      </w:pPr>
      <w:bookmarkStart w:id="27" w:name="_Toc35393635"/>
      <w:bookmarkStart w:id="28" w:name="_Toc35393804"/>
      <w:r>
        <w:rPr>
          <w:rFonts w:hint="eastAsia" w:ascii="黑体" w:hAnsi="黑体" w:cs="宋体"/>
          <w:b w:val="0"/>
          <w:sz w:val="28"/>
          <w:szCs w:val="28"/>
          <w:lang w:eastAsia="zh-CN"/>
        </w:rPr>
        <w:t>七</w:t>
      </w:r>
      <w:r>
        <w:rPr>
          <w:rFonts w:hint="eastAsia" w:ascii="黑体" w:hAnsi="黑体" w:cs="宋体"/>
          <w:b w:val="0"/>
          <w:sz w:val="28"/>
          <w:szCs w:val="28"/>
        </w:rPr>
        <w:t>、其他补充事宜</w:t>
      </w:r>
      <w:bookmarkEnd w:id="27"/>
      <w:bookmarkEnd w:id="28"/>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textAlignment w:val="auto"/>
        <w:rPr>
          <w:rFonts w:hint="eastAsia" w:ascii="宋体" w:hAnsi="宋体" w:eastAsia="宋体" w:cs="宋体"/>
          <w:sz w:val="28"/>
          <w:szCs w:val="28"/>
        </w:rPr>
      </w:pPr>
      <w:r>
        <w:rPr>
          <w:rFonts w:hint="eastAsia" w:ascii="宋体" w:hAnsi="宋体" w:eastAsia="宋体" w:cs="宋体"/>
          <w:sz w:val="28"/>
          <w:szCs w:val="28"/>
        </w:rPr>
        <w:t>1.磋商代表须持本人身份证原件及法定代表人授权书（若法人作为磋商代表仅需身份证原件）亲自递交响应文件，否则拒收响应文件。</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textAlignment w:val="auto"/>
        <w:rPr>
          <w:rFonts w:hint="eastAsia" w:ascii="宋体" w:hAnsi="宋体" w:eastAsia="宋体" w:cs="宋体"/>
          <w:sz w:val="28"/>
          <w:szCs w:val="28"/>
        </w:rPr>
      </w:pPr>
      <w:r>
        <w:rPr>
          <w:rFonts w:hint="eastAsia" w:ascii="宋体" w:hAnsi="宋体" w:eastAsia="宋体" w:cs="宋体"/>
          <w:sz w:val="28"/>
          <w:szCs w:val="28"/>
        </w:rPr>
        <w:t>2.本次磋商须供应商提供样品（详见磋商文件）。</w:t>
      </w:r>
    </w:p>
    <w:p>
      <w:pPr>
        <w:spacing w:line="360" w:lineRule="auto"/>
        <w:ind w:firstLine="564" w:firstLineChars="200"/>
        <w:rPr>
          <w:rFonts w:hint="eastAsia" w:ascii="宋体" w:hAnsi="宋体" w:eastAsia="宋体" w:cs="宋体"/>
          <w:sz w:val="28"/>
          <w:szCs w:val="28"/>
        </w:rPr>
      </w:pPr>
      <w:r>
        <w:rPr>
          <w:rFonts w:hint="eastAsia" w:ascii="宋体" w:hAnsi="宋体" w:eastAsia="宋体" w:cs="宋体"/>
          <w:sz w:val="28"/>
          <w:szCs w:val="28"/>
        </w:rPr>
        <w:t>3.在疫情结束前：</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textAlignment w:val="auto"/>
        <w:rPr>
          <w:rFonts w:hint="eastAsia" w:ascii="宋体" w:hAnsi="宋体" w:eastAsia="宋体" w:cs="宋体"/>
          <w:sz w:val="28"/>
          <w:szCs w:val="28"/>
        </w:rPr>
      </w:pPr>
      <w:r>
        <w:rPr>
          <w:rFonts w:hint="eastAsia" w:ascii="宋体" w:hAnsi="宋体" w:eastAsia="宋体" w:cs="宋体"/>
          <w:sz w:val="28"/>
          <w:szCs w:val="28"/>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textAlignment w:val="auto"/>
        <w:rPr>
          <w:rFonts w:hint="eastAsia" w:ascii="宋体" w:hAnsi="宋体" w:eastAsia="宋体" w:cs="宋体"/>
          <w:sz w:val="28"/>
          <w:szCs w:val="28"/>
        </w:rPr>
      </w:pPr>
      <w:r>
        <w:rPr>
          <w:rFonts w:hint="eastAsia" w:ascii="宋体" w:hAnsi="宋体" w:eastAsia="宋体" w:cs="宋体"/>
          <w:sz w:val="28"/>
          <w:szCs w:val="28"/>
        </w:rPr>
        <w:t>（2）请供应商代表提前到达采购代理机构配合相关防疫登记检查。</w:t>
      </w:r>
    </w:p>
    <w:p>
      <w:pPr>
        <w:spacing w:line="360" w:lineRule="auto"/>
        <w:ind w:firstLine="564" w:firstLineChars="200"/>
        <w:rPr>
          <w:rFonts w:hint="eastAsia" w:ascii="宋体" w:hAnsi="宋体" w:eastAsia="宋体" w:cs="宋体"/>
          <w:sz w:val="28"/>
          <w:szCs w:val="28"/>
        </w:rPr>
      </w:pPr>
      <w:r>
        <w:rPr>
          <w:rFonts w:hint="eastAsia" w:ascii="宋体" w:hAnsi="宋体" w:eastAsia="宋体" w:cs="宋体"/>
          <w:sz w:val="28"/>
          <w:szCs w:val="28"/>
        </w:rPr>
        <w:t>（3）参加本项目磋商的供应商人员建议为供应商代表1人，到场人员需自备口罩等防护工具，做好个人防护。</w:t>
      </w:r>
    </w:p>
    <w:p>
      <w:pPr>
        <w:spacing w:line="360" w:lineRule="auto"/>
        <w:ind w:firstLine="564" w:firstLineChars="200"/>
        <w:rPr>
          <w:rFonts w:hint="eastAsia" w:ascii="宋体" w:hAnsi="宋体" w:eastAsia="宋体" w:cs="宋体"/>
          <w:sz w:val="28"/>
          <w:szCs w:val="28"/>
        </w:rPr>
      </w:pPr>
      <w:r>
        <w:rPr>
          <w:rFonts w:hint="eastAsia" w:ascii="宋体" w:hAnsi="宋体" w:eastAsia="宋体" w:cs="宋体"/>
          <w:sz w:val="28"/>
          <w:szCs w:val="28"/>
        </w:rPr>
        <w:t>（4）因疫情防控情况尚不明确，若无法正常进行磋商，则时间另行通知。</w:t>
      </w:r>
    </w:p>
    <w:p>
      <w:pPr>
        <w:spacing w:line="360" w:lineRule="auto"/>
        <w:ind w:firstLine="564" w:firstLineChars="200"/>
        <w:rPr>
          <w:rFonts w:hint="eastAsia" w:ascii="黑体" w:hAnsi="黑体" w:eastAsia="黑体" w:cs="宋体"/>
          <w:b w:val="0"/>
          <w:sz w:val="28"/>
          <w:szCs w:val="28"/>
          <w:lang w:eastAsia="zh-CN"/>
        </w:rPr>
      </w:pPr>
      <w:r>
        <w:rPr>
          <w:rFonts w:hint="eastAsia" w:ascii="宋体" w:hAnsi="宋体" w:eastAsia="宋体" w:cs="宋体"/>
          <w:sz w:val="28"/>
          <w:szCs w:val="28"/>
        </w:rPr>
        <w:t>（5）请供应商自行关注国家、黑龙江省、哈尔滨市相关疫情防控要求。</w:t>
      </w:r>
    </w:p>
    <w:p/>
    <w:p>
      <w:pPr>
        <w:pStyle w:val="6"/>
        <w:spacing w:line="360" w:lineRule="auto"/>
        <w:rPr>
          <w:rFonts w:hint="eastAsia" w:ascii="黑体" w:hAnsi="黑体" w:eastAsia="黑体" w:cs="宋体"/>
          <w:b w:val="0"/>
          <w:sz w:val="28"/>
          <w:szCs w:val="28"/>
          <w:lang w:eastAsia="zh-CN"/>
        </w:rPr>
      </w:pPr>
      <w:bookmarkStart w:id="29" w:name="_Toc28359018"/>
      <w:bookmarkStart w:id="30" w:name="_Toc28359095"/>
      <w:bookmarkStart w:id="31" w:name="_Toc35393636"/>
      <w:bookmarkStart w:id="32"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9"/>
      <w:bookmarkEnd w:id="30"/>
      <w:bookmarkEnd w:id="31"/>
      <w:bookmarkEnd w:id="32"/>
      <w:r>
        <w:rPr>
          <w:rFonts w:hint="eastAsia" w:ascii="黑体" w:hAnsi="黑体" w:cs="宋体"/>
          <w:b w:val="0"/>
          <w:sz w:val="28"/>
          <w:szCs w:val="28"/>
          <w:lang w:eastAsia="zh-CN"/>
        </w:rPr>
        <w:t>：</w:t>
      </w:r>
    </w:p>
    <w:p>
      <w:pPr>
        <w:pStyle w:val="6"/>
        <w:spacing w:line="360" w:lineRule="auto"/>
        <w:ind w:firstLine="846" w:firstLineChars="300"/>
        <w:rPr>
          <w:rFonts w:hint="eastAsia" w:ascii="宋体" w:hAnsi="宋体" w:eastAsia="宋体" w:cs="宋体"/>
          <w:b w:val="0"/>
          <w:sz w:val="28"/>
          <w:szCs w:val="28"/>
        </w:rPr>
      </w:pPr>
      <w:bookmarkStart w:id="33" w:name="_Toc35393637"/>
      <w:bookmarkStart w:id="34" w:name="_Toc35393806"/>
      <w:bookmarkStart w:id="35" w:name="_Toc28359096"/>
      <w:bookmarkStart w:id="36" w:name="_Toc28359019"/>
      <w:r>
        <w:rPr>
          <w:rFonts w:hint="eastAsia" w:ascii="宋体" w:hAnsi="宋体" w:eastAsia="宋体" w:cs="宋体"/>
          <w:b w:val="0"/>
          <w:sz w:val="28"/>
          <w:szCs w:val="28"/>
        </w:rPr>
        <w:t>1.采购人信息</w:t>
      </w:r>
      <w:bookmarkEnd w:id="33"/>
      <w:bookmarkEnd w:id="34"/>
      <w:bookmarkEnd w:id="35"/>
      <w:bookmarkEnd w:id="36"/>
    </w:p>
    <w:p>
      <w:pPr>
        <w:spacing w:line="360" w:lineRule="auto"/>
        <w:ind w:left="1138" w:leftChars="371" w:hanging="352" w:hangingChars="125"/>
        <w:jc w:val="left"/>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哈尔滨工程大学</w:t>
      </w:r>
    </w:p>
    <w:p>
      <w:pPr>
        <w:spacing w:line="360" w:lineRule="auto"/>
        <w:ind w:left="1138" w:leftChars="371" w:hanging="352" w:hangingChars="125"/>
        <w:jc w:val="left"/>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哈尔滨市南岗区南通大街145号</w:t>
      </w:r>
    </w:p>
    <w:p>
      <w:pPr>
        <w:spacing w:line="360" w:lineRule="auto"/>
        <w:ind w:left="1138" w:leftChars="371" w:hanging="352" w:hangingChars="125"/>
        <w:jc w:val="left"/>
        <w:rPr>
          <w:rFonts w:hint="eastAsia" w:ascii="宋体" w:hAnsi="宋体" w:eastAsia="宋体" w:cs="宋体"/>
          <w:sz w:val="28"/>
          <w:szCs w:val="28"/>
          <w:lang w:eastAsia="zh-CN"/>
        </w:rPr>
      </w:pPr>
      <w:r>
        <w:rPr>
          <w:rFonts w:hint="eastAsia" w:ascii="宋体" w:hAnsi="宋体" w:eastAsia="宋体" w:cs="宋体"/>
          <w:sz w:val="28"/>
          <w:szCs w:val="28"/>
        </w:rPr>
        <w:t>联系方式：</w:t>
      </w:r>
      <w:r>
        <w:rPr>
          <w:rFonts w:hint="eastAsia" w:ascii="宋体" w:hAnsi="宋体" w:eastAsia="宋体" w:cs="宋体"/>
          <w:sz w:val="28"/>
          <w:szCs w:val="28"/>
          <w:u w:val="single"/>
        </w:rPr>
        <w:t>0451-8251986</w:t>
      </w:r>
      <w:r>
        <w:rPr>
          <w:rFonts w:hint="eastAsia" w:ascii="宋体" w:hAnsi="宋体" w:eastAsia="宋体" w:cs="宋体"/>
          <w:sz w:val="28"/>
          <w:szCs w:val="28"/>
          <w:u w:val="single"/>
          <w:lang w:val="en-US" w:eastAsia="zh-CN"/>
        </w:rPr>
        <w:t>2</w:t>
      </w:r>
    </w:p>
    <w:p>
      <w:pPr>
        <w:pStyle w:val="6"/>
        <w:spacing w:line="360" w:lineRule="auto"/>
        <w:ind w:firstLine="846" w:firstLineChars="300"/>
        <w:rPr>
          <w:rFonts w:hint="eastAsia" w:ascii="宋体" w:hAnsi="宋体" w:eastAsia="宋体" w:cs="宋体"/>
          <w:b w:val="0"/>
          <w:sz w:val="28"/>
          <w:szCs w:val="28"/>
        </w:rPr>
      </w:pPr>
      <w:bookmarkStart w:id="37" w:name="_Toc28359097"/>
      <w:bookmarkStart w:id="38" w:name="_Toc28359020"/>
      <w:bookmarkStart w:id="39" w:name="_Toc35393638"/>
      <w:bookmarkStart w:id="40" w:name="_Toc35393807"/>
      <w:r>
        <w:rPr>
          <w:rFonts w:hint="eastAsia" w:ascii="宋体" w:hAnsi="宋体" w:eastAsia="宋体" w:cs="宋体"/>
          <w:b w:val="0"/>
          <w:sz w:val="28"/>
          <w:szCs w:val="28"/>
        </w:rPr>
        <w:t>2.采购代理机构信息</w:t>
      </w:r>
      <w:bookmarkEnd w:id="37"/>
      <w:bookmarkEnd w:id="38"/>
      <w:bookmarkEnd w:id="39"/>
      <w:bookmarkEnd w:id="40"/>
    </w:p>
    <w:p>
      <w:pPr>
        <w:spacing w:line="360" w:lineRule="auto"/>
        <w:ind w:firstLine="846" w:firstLineChars="300"/>
        <w:rPr>
          <w:rFonts w:hint="eastAsia" w:ascii="宋体" w:hAnsi="宋体" w:eastAsia="宋体" w:cs="宋体"/>
          <w:sz w:val="28"/>
          <w:szCs w:val="28"/>
        </w:rPr>
      </w:pPr>
      <w:r>
        <w:rPr>
          <w:rFonts w:hint="eastAsia" w:ascii="宋体" w:hAnsi="宋体" w:eastAsia="宋体" w:cs="宋体"/>
          <w:sz w:val="28"/>
          <w:szCs w:val="28"/>
        </w:rPr>
        <w:t xml:space="preserve">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称：</w:t>
      </w:r>
      <w:r>
        <w:rPr>
          <w:rFonts w:hint="eastAsia" w:ascii="宋体" w:hAnsi="宋体" w:eastAsia="宋体" w:cs="宋体"/>
          <w:sz w:val="28"/>
          <w:szCs w:val="28"/>
          <w:u w:val="single"/>
        </w:rPr>
        <w:t>正信伟业工程咨询管理有限公司　</w:t>
      </w:r>
    </w:p>
    <w:p>
      <w:pPr>
        <w:spacing w:line="360" w:lineRule="auto"/>
        <w:ind w:firstLine="846" w:firstLineChars="3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黑龙江省哈尔滨市香坊区红旗大街235号投资大厦20层</w:t>
      </w:r>
    </w:p>
    <w:p>
      <w:pPr>
        <w:spacing w:line="360" w:lineRule="auto"/>
        <w:ind w:firstLine="846" w:firstLineChars="300"/>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0451-82362805</w:t>
      </w:r>
    </w:p>
    <w:p>
      <w:pPr>
        <w:pStyle w:val="6"/>
        <w:spacing w:line="360" w:lineRule="auto"/>
        <w:ind w:firstLine="846" w:firstLineChars="300"/>
        <w:rPr>
          <w:rFonts w:hint="eastAsia" w:ascii="宋体" w:hAnsi="宋体" w:eastAsia="宋体" w:cs="宋体"/>
          <w:b w:val="0"/>
          <w:sz w:val="28"/>
          <w:szCs w:val="28"/>
        </w:rPr>
      </w:pPr>
      <w:bookmarkStart w:id="41" w:name="_Toc35393808"/>
      <w:bookmarkStart w:id="42" w:name="_Toc28359021"/>
      <w:bookmarkStart w:id="43" w:name="_Toc28359098"/>
      <w:bookmarkStart w:id="44" w:name="_Toc35393639"/>
      <w:r>
        <w:rPr>
          <w:rFonts w:hint="eastAsia" w:ascii="宋体" w:hAnsi="宋体" w:eastAsia="宋体" w:cs="宋体"/>
          <w:b w:val="0"/>
          <w:sz w:val="28"/>
          <w:szCs w:val="28"/>
        </w:rPr>
        <w:t>3.项目联系方式</w:t>
      </w:r>
      <w:bookmarkEnd w:id="41"/>
      <w:bookmarkEnd w:id="42"/>
      <w:bookmarkEnd w:id="43"/>
      <w:bookmarkEnd w:id="44"/>
    </w:p>
    <w:p>
      <w:pPr>
        <w:pStyle w:val="10"/>
        <w:spacing w:line="360" w:lineRule="auto"/>
        <w:ind w:firstLine="846" w:firstLineChars="300"/>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eastAsia="宋体" w:cs="宋体"/>
          <w:sz w:val="28"/>
          <w:szCs w:val="28"/>
          <w:u w:val="single"/>
          <w:lang w:eastAsia="zh-CN"/>
        </w:rPr>
        <w:t>许女士</w:t>
      </w:r>
    </w:p>
    <w:p>
      <w:pPr>
        <w:spacing w:line="360" w:lineRule="auto"/>
        <w:ind w:firstLine="846" w:firstLineChars="300"/>
        <w:rPr>
          <w:rFonts w:hint="eastAsia" w:ascii="宋体" w:hAnsi="宋体" w:eastAsia="宋体" w:cs="宋体"/>
          <w:sz w:val="28"/>
          <w:szCs w:val="28"/>
          <w:u w:val="single"/>
          <w:lang w:val="en-US"/>
        </w:rPr>
      </w:pPr>
      <w:r>
        <w:rPr>
          <w:rFonts w:hint="eastAsia" w:ascii="宋体" w:hAnsi="宋体" w:eastAsia="宋体" w:cs="宋体"/>
          <w:sz w:val="28"/>
          <w:szCs w:val="28"/>
        </w:rPr>
        <w:t xml:space="preserve">电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话：</w:t>
      </w:r>
      <w:r>
        <w:rPr>
          <w:rFonts w:hint="eastAsia" w:ascii="宋体" w:hAnsi="宋体" w:eastAsia="宋体" w:cs="宋体"/>
          <w:sz w:val="28"/>
          <w:szCs w:val="28"/>
          <w:u w:val="single"/>
          <w:lang w:val="en-US" w:eastAsia="zh-CN"/>
        </w:rPr>
        <w:t>0</w:t>
      </w:r>
      <w:r>
        <w:rPr>
          <w:rFonts w:hint="eastAsia" w:ascii="宋体" w:hAnsi="宋体" w:eastAsia="宋体" w:cs="宋体"/>
          <w:sz w:val="28"/>
          <w:szCs w:val="28"/>
          <w:u w:val="single"/>
        </w:rPr>
        <w:t>451-82362805</w:t>
      </w:r>
      <w:r>
        <w:rPr>
          <w:rFonts w:hint="eastAsia" w:ascii="宋体" w:hAnsi="宋体" w:eastAsia="宋体" w:cs="宋体"/>
          <w:sz w:val="28"/>
          <w:szCs w:val="28"/>
          <w:u w:val="single"/>
          <w:lang w:val="en-US" w:eastAsia="zh-CN"/>
        </w:rPr>
        <w:t>-8089</w:t>
      </w:r>
    </w:p>
    <w:bookmarkEnd w:id="0"/>
    <w:bookmarkEnd w:id="1"/>
    <w:bookmarkEnd w:id="2"/>
    <w:p>
      <w:pPr>
        <w:spacing w:line="360" w:lineRule="auto"/>
        <w:rPr>
          <w:rFonts w:ascii="黑体" w:hAnsi="宋体" w:cs="黑体"/>
          <w:sz w:val="36"/>
          <w:szCs w:val="36"/>
          <w:highlight w:val="none"/>
        </w:rPr>
      </w:pPr>
      <w:r>
        <w:rPr>
          <w:rFonts w:hint="eastAsia" w:ascii="宋体" w:hAnsi="宋体" w:eastAsia="宋体" w:cs="宋体"/>
          <w:sz w:val="21"/>
          <w:szCs w:val="21"/>
          <w:highlight w:val="none"/>
        </w:rPr>
        <w:br w:type="page"/>
      </w:r>
    </w:p>
    <w:p>
      <w:pPr>
        <w:keepNext/>
        <w:keepLines/>
        <w:widowControl/>
        <w:tabs>
          <w:tab w:val="left" w:pos="720"/>
        </w:tabs>
        <w:spacing w:before="120" w:after="120" w:line="360" w:lineRule="auto"/>
        <w:jc w:val="center"/>
        <w:outlineLvl w:val="0"/>
        <w:rPr>
          <w:rFonts w:ascii="黑体" w:hAnsi="宋体" w:eastAsia="黑体" w:cs="黑体"/>
          <w:sz w:val="36"/>
          <w:szCs w:val="36"/>
          <w:highlight w:val="none"/>
        </w:rPr>
      </w:pPr>
      <w:bookmarkStart w:id="45" w:name="_Toc13810"/>
      <w:bookmarkStart w:id="46" w:name="_Toc15392"/>
      <w:r>
        <w:rPr>
          <w:rFonts w:hint="eastAsia" w:ascii="黑体" w:hAnsi="宋体" w:eastAsia="黑体" w:cs="黑体"/>
          <w:sz w:val="36"/>
          <w:szCs w:val="36"/>
          <w:highlight w:val="none"/>
        </w:rPr>
        <w:t>第二部分  供应商须知</w:t>
      </w:r>
      <w:bookmarkEnd w:id="45"/>
      <w:bookmarkEnd w:id="46"/>
    </w:p>
    <w:p>
      <w:pPr>
        <w:snapToGrid w:val="0"/>
        <w:spacing w:line="360" w:lineRule="auto"/>
        <w:ind w:left="600"/>
        <w:jc w:val="center"/>
        <w:rPr>
          <w:rFonts w:eastAsia="黑体"/>
          <w:sz w:val="18"/>
          <w:szCs w:val="18"/>
          <w:highlight w:val="none"/>
        </w:rPr>
      </w:pPr>
    </w:p>
    <w:p>
      <w:pPr>
        <w:pStyle w:val="7"/>
        <w:widowControl/>
        <w:rPr>
          <w:rFonts w:ascii="黑体" w:hAnsi="宋体" w:cs="黑体"/>
          <w:highlight w:val="none"/>
        </w:rPr>
      </w:pPr>
      <w:r>
        <w:rPr>
          <w:rFonts w:hint="eastAsia" w:ascii="黑体" w:hAnsi="宋体" w:cs="黑体"/>
          <w:highlight w:val="none"/>
        </w:rPr>
        <w:t>A</w:t>
      </w:r>
      <w:r>
        <w:rPr>
          <w:rFonts w:hint="eastAsia" w:ascii="黑体" w:hAnsi="宋体" w:cs="黑体"/>
          <w:highlight w:val="none"/>
          <w:lang w:val="en-US" w:eastAsia="zh-CN"/>
        </w:rPr>
        <w:t xml:space="preserve">  </w:t>
      </w:r>
      <w:r>
        <w:rPr>
          <w:rFonts w:hint="eastAsia" w:ascii="黑体" w:hAnsi="宋体" w:cs="黑体"/>
          <w:highlight w:val="none"/>
        </w:rPr>
        <w:t>说  明</w:t>
      </w:r>
    </w:p>
    <w:p>
      <w:pPr>
        <w:snapToGrid w:val="0"/>
        <w:ind w:left="600"/>
        <w:jc w:val="center"/>
        <w:rPr>
          <w:rFonts w:ascii="黑体" w:hAnsi="宋体" w:eastAsia="黑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sz w:val="24"/>
          <w:highlight w:val="none"/>
        </w:rPr>
      </w:pPr>
      <w:r>
        <w:rPr>
          <w:rFonts w:hint="eastAsia" w:ascii="宋体" w:hAnsi="宋体"/>
          <w:b/>
          <w:sz w:val="24"/>
          <w:highlight w:val="none"/>
        </w:rPr>
        <w:t>一、委托</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szCs w:val="21"/>
          <w:highlight w:val="none"/>
        </w:rPr>
      </w:pPr>
      <w:r>
        <w:rPr>
          <w:rFonts w:ascii="宋体" w:hAnsi="宋体"/>
          <w:szCs w:val="21"/>
          <w:highlight w:val="none"/>
        </w:rPr>
        <w:t>如</w:t>
      </w:r>
      <w:r>
        <w:rPr>
          <w:rFonts w:hint="eastAsia" w:ascii="宋体" w:hAnsi="宋体"/>
          <w:szCs w:val="21"/>
          <w:highlight w:val="none"/>
        </w:rPr>
        <w:t>参加磋商的</w:t>
      </w:r>
      <w:r>
        <w:rPr>
          <w:rFonts w:ascii="宋体" w:hAnsi="宋体"/>
          <w:szCs w:val="21"/>
          <w:highlight w:val="none"/>
        </w:rPr>
        <w:t>代表不是法定代表人，须持有《法定代表人授权书》（统一格式）。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sz w:val="24"/>
          <w:highlight w:val="none"/>
        </w:rPr>
      </w:pPr>
      <w:r>
        <w:rPr>
          <w:rFonts w:hint="eastAsia" w:ascii="宋体" w:hAnsi="宋体"/>
          <w:b/>
          <w:sz w:val="24"/>
          <w:highlight w:val="none"/>
        </w:rPr>
        <w:t>二、费用</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highlight w:val="none"/>
        </w:rPr>
      </w:pPr>
      <w:r>
        <w:rPr>
          <w:rFonts w:hint="eastAsia" w:ascii="宋体" w:hAnsi="宋体" w:eastAsia="宋体" w:cs="宋体"/>
          <w:szCs w:val="21"/>
          <w:highlight w:val="none"/>
        </w:rPr>
        <w:t>1.无论磋商过程中的作法和结果如何，参加磋商的供应商自行承担所有参加磋商有关的全部费用。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highlight w:val="none"/>
        </w:rPr>
      </w:pPr>
      <w:r>
        <w:rPr>
          <w:rFonts w:hint="eastAsia" w:ascii="宋体" w:hAnsi="宋体" w:eastAsia="宋体" w:cs="宋体"/>
          <w:szCs w:val="21"/>
          <w:highlight w:val="none"/>
        </w:rPr>
        <w:t>2.供应商应参照执行《招标代理服务收费管理暂行办法》（计价格[2002]1980号）及《关于招标代理服务费收费有关问题的通知》（发改办价格[2003]857号），</w:t>
      </w:r>
      <w:r>
        <w:rPr>
          <w:rFonts w:hint="eastAsia" w:ascii="宋体" w:hAnsi="宋体" w:eastAsia="宋体" w:cs="宋体"/>
          <w:szCs w:val="21"/>
          <w:highlight w:val="none"/>
          <w:lang w:val="en-US" w:eastAsia="zh-CN"/>
        </w:rPr>
        <w:t>全额计取，</w:t>
      </w:r>
      <w:r>
        <w:rPr>
          <w:rFonts w:hint="eastAsia" w:ascii="宋体" w:hAnsi="宋体" w:eastAsia="宋体" w:cs="宋体"/>
          <w:szCs w:val="21"/>
          <w:highlight w:val="none"/>
        </w:rPr>
        <w:t>本次磋商代理服务费由成交供应商支付。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b/>
          <w:sz w:val="24"/>
          <w:szCs w:val="24"/>
          <w:highlight w:val="none"/>
        </w:rPr>
      </w:pPr>
      <w:bookmarkStart w:id="47" w:name="_Toc865"/>
      <w:r>
        <w:rPr>
          <w:rFonts w:hint="eastAsia"/>
          <w:b/>
          <w:sz w:val="24"/>
          <w:szCs w:val="24"/>
          <w:highlight w:val="none"/>
        </w:rPr>
        <w:t>三、竞争性磋商文件的解释</w:t>
      </w:r>
      <w:bookmarkEnd w:id="47"/>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highlight w:val="none"/>
        </w:rPr>
      </w:pPr>
      <w:r>
        <w:rPr>
          <w:rFonts w:hint="eastAsia" w:ascii="宋体" w:hAnsi="宋体" w:eastAsia="宋体" w:cs="宋体"/>
          <w:szCs w:val="21"/>
          <w:highlight w:val="none"/>
        </w:rPr>
        <w:t>本竞争性磋商文件各条款由</w:t>
      </w:r>
      <w:r>
        <w:rPr>
          <w:rFonts w:hint="eastAsia" w:ascii="宋体" w:hAnsi="宋体" w:eastAsia="宋体" w:cs="宋体"/>
          <w:szCs w:val="21"/>
          <w:highlight w:val="none"/>
          <w:lang w:eastAsia="zh-CN"/>
        </w:rPr>
        <w:t>正信伟业工程咨询管理有限公司</w:t>
      </w:r>
      <w:r>
        <w:rPr>
          <w:rFonts w:hint="eastAsia" w:ascii="宋体" w:hAnsi="宋体" w:eastAsia="宋体" w:cs="宋体"/>
          <w:szCs w:val="21"/>
          <w:highlight w:val="none"/>
        </w:rPr>
        <w:t>负责解释。</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宋体" w:hAnsi="宋体" w:eastAsia="宋体" w:cs="微软雅黑"/>
          <w:b/>
          <w:sz w:val="24"/>
          <w:szCs w:val="24"/>
          <w:highlight w:val="none"/>
        </w:rPr>
      </w:pPr>
    </w:p>
    <w:p>
      <w:pPr>
        <w:pStyle w:val="7"/>
        <w:widowControl/>
        <w:rPr>
          <w:rFonts w:ascii="黑体" w:hAnsi="宋体" w:cs="黑体"/>
          <w:highlight w:val="none"/>
        </w:rPr>
      </w:pPr>
      <w:bookmarkStart w:id="48" w:name="_Toc466302627"/>
      <w:bookmarkStart w:id="49" w:name="_Toc467141130"/>
      <w:r>
        <w:rPr>
          <w:rFonts w:hint="eastAsia" w:ascii="黑体" w:hAnsi="宋体" w:cs="黑体"/>
          <w:highlight w:val="none"/>
        </w:rPr>
        <w:t>B  磋商文件</w:t>
      </w:r>
      <w:bookmarkEnd w:id="48"/>
      <w:bookmarkEnd w:id="49"/>
    </w:p>
    <w:p>
      <w:pPr>
        <w:snapToGrid w:val="0"/>
        <w:spacing w:line="360" w:lineRule="auto"/>
        <w:rPr>
          <w:b/>
          <w:sz w:val="24"/>
          <w:szCs w:val="24"/>
          <w:highlight w:val="none"/>
        </w:rPr>
      </w:pPr>
      <w:r>
        <w:rPr>
          <w:rFonts w:hint="eastAsia"/>
          <w:b/>
          <w:sz w:val="24"/>
          <w:szCs w:val="24"/>
          <w:highlight w:val="none"/>
        </w:rPr>
        <w:t>四、竞争性磋商文件的构成</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竞争性磋商文件（以下简称磋商文件）由下列文件及在磋商过程中发出的更正和补充文件组成：</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eastAsia="宋体" w:cs="微软雅黑"/>
          <w:szCs w:val="21"/>
          <w:highlight w:val="none"/>
        </w:rPr>
      </w:pPr>
      <w:r>
        <w:rPr>
          <w:rFonts w:hint="eastAsia" w:ascii="宋体" w:hAnsi="宋体" w:eastAsia="宋体" w:cs="微软雅黑"/>
          <w:szCs w:val="21"/>
          <w:highlight w:val="none"/>
        </w:rPr>
        <w:t>第一部分  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eastAsia="宋体" w:cs="微软雅黑"/>
          <w:szCs w:val="21"/>
          <w:highlight w:val="none"/>
        </w:rPr>
      </w:pPr>
      <w:r>
        <w:rPr>
          <w:rFonts w:hint="eastAsia" w:ascii="宋体" w:hAnsi="宋体" w:eastAsia="宋体" w:cs="微软雅黑"/>
          <w:szCs w:val="21"/>
          <w:highlight w:val="none"/>
        </w:rPr>
        <w:t>第二部分  供应商须知</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微软雅黑"/>
          <w:szCs w:val="21"/>
          <w:highlight w:val="none"/>
        </w:rPr>
      </w:pPr>
      <w:r>
        <w:rPr>
          <w:rFonts w:hint="eastAsia" w:ascii="宋体" w:hAnsi="宋体" w:eastAsia="宋体" w:cs="微软雅黑"/>
          <w:szCs w:val="21"/>
          <w:highlight w:val="none"/>
        </w:rPr>
        <w:t>第三部分  货物清单及技术参数或服务要求</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ascii="宋体" w:hAnsi="宋体" w:eastAsia="宋体" w:cs="微软雅黑"/>
          <w:szCs w:val="21"/>
          <w:highlight w:val="none"/>
        </w:rPr>
      </w:pPr>
      <w:r>
        <w:rPr>
          <w:rFonts w:hint="eastAsia" w:ascii="宋体" w:hAnsi="宋体" w:eastAsia="宋体" w:cs="微软雅黑"/>
          <w:szCs w:val="21"/>
          <w:highlight w:val="none"/>
        </w:rPr>
        <w:t>第四部分  主要合同条款及合同格式（参照执行）</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微软雅黑"/>
          <w:szCs w:val="21"/>
          <w:highlight w:val="none"/>
        </w:rPr>
      </w:pPr>
      <w:r>
        <w:rPr>
          <w:rFonts w:hint="eastAsia" w:ascii="宋体" w:hAnsi="宋体" w:eastAsia="宋体" w:cs="微软雅黑"/>
          <w:szCs w:val="21"/>
          <w:highlight w:val="none"/>
        </w:rPr>
        <w:t>第五部分  响应文件格式及附件</w:t>
      </w:r>
    </w:p>
    <w:p>
      <w:pPr>
        <w:snapToGrid w:val="0"/>
        <w:spacing w:line="360" w:lineRule="auto"/>
        <w:rPr>
          <w:b/>
          <w:sz w:val="24"/>
          <w:szCs w:val="24"/>
          <w:highlight w:val="none"/>
        </w:rPr>
      </w:pPr>
      <w:r>
        <w:rPr>
          <w:rFonts w:hint="eastAsia"/>
          <w:b/>
          <w:sz w:val="24"/>
          <w:szCs w:val="24"/>
          <w:highlight w:val="none"/>
        </w:rPr>
        <w:t>五、磋商文件的澄清和修改</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在磋商截止时间</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日前，代理机构可对磋商文件进行澄清或修改，在中国政府采购网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发布更正公告，并以书面形式通知所有成功获取磋商文件的供应商。该澄清或修改的内容为磋商文件的组成部分。</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代理机构可根据实际情况，适当延长磋商响应文件递交截止时间和磋商开始时间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但至少应当在磋商文件要求提交响应文件的截止时间三日前，将变更时间通知所有成功获取磋商文件的供应商，并在中国政府采购网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w:t>
      </w:r>
    </w:p>
    <w:p>
      <w:pPr>
        <w:snapToGrid w:val="0"/>
        <w:spacing w:line="360" w:lineRule="auto"/>
        <w:rPr>
          <w:b/>
          <w:sz w:val="24"/>
          <w:szCs w:val="24"/>
          <w:highlight w:val="none"/>
        </w:rPr>
      </w:pPr>
      <w:r>
        <w:rPr>
          <w:rFonts w:hint="eastAsia"/>
          <w:b/>
          <w:sz w:val="24"/>
          <w:szCs w:val="24"/>
          <w:highlight w:val="none"/>
        </w:rPr>
        <w:t>六、质疑提起与受理</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1.供应商认为磋商文件、采购过程和成交结果使自己的权益受到损害时，可以向采购代理机构提出询问或质疑，且需提供相关举证材料，逾期提出无效。</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2.询问和质疑的提出与处理应依据政府采购相关规定办理。</w:t>
      </w:r>
    </w:p>
    <w:p>
      <w:pPr>
        <w:snapToGrid w:val="0"/>
        <w:spacing w:line="360" w:lineRule="auto"/>
        <w:rPr>
          <w:b/>
          <w:sz w:val="24"/>
          <w:szCs w:val="24"/>
          <w:highlight w:val="none"/>
        </w:rPr>
      </w:pPr>
      <w:r>
        <w:rPr>
          <w:rFonts w:hint="eastAsia"/>
          <w:b/>
          <w:sz w:val="24"/>
          <w:szCs w:val="24"/>
          <w:highlight w:val="none"/>
        </w:rPr>
        <w:t>七、投诉</w:t>
      </w:r>
    </w:p>
    <w:p>
      <w:pPr>
        <w:snapToGrid w:val="0"/>
        <w:spacing w:line="360" w:lineRule="auto"/>
        <w:ind w:firstLine="424" w:firstLineChars="200"/>
        <w:jc w:val="left"/>
        <w:rPr>
          <w:rFonts w:ascii="黑体" w:hAnsi="宋体" w:eastAsia="黑体"/>
          <w:b/>
          <w:bCs/>
          <w:sz w:val="28"/>
          <w:szCs w:val="28"/>
          <w:highlight w:val="none"/>
        </w:rPr>
      </w:pPr>
      <w:r>
        <w:rPr>
          <w:rFonts w:hint="eastAsia" w:ascii="宋体" w:hAnsi="宋体" w:eastAsia="宋体" w:cs="微软雅黑"/>
          <w:szCs w:val="21"/>
          <w:highlight w:val="none"/>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jc w:val="center"/>
        <w:rPr>
          <w:rFonts w:hint="eastAsia" w:ascii="黑体" w:hAnsi="宋体" w:eastAsia="黑体"/>
          <w:b/>
          <w:bCs/>
          <w:sz w:val="28"/>
          <w:szCs w:val="28"/>
          <w:highlight w:val="none"/>
        </w:rPr>
      </w:pPr>
    </w:p>
    <w:p>
      <w:pPr>
        <w:snapToGrid w:val="0"/>
        <w:spacing w:line="360" w:lineRule="auto"/>
        <w:jc w:val="center"/>
        <w:rPr>
          <w:rFonts w:ascii="黑体" w:hAnsi="宋体" w:eastAsia="黑体"/>
          <w:b/>
          <w:bCs/>
          <w:sz w:val="28"/>
          <w:szCs w:val="28"/>
          <w:highlight w:val="none"/>
        </w:rPr>
      </w:pPr>
      <w:r>
        <w:rPr>
          <w:rFonts w:hint="eastAsia" w:ascii="黑体" w:hAnsi="宋体" w:eastAsia="黑体"/>
          <w:b/>
          <w:bCs/>
          <w:sz w:val="28"/>
          <w:szCs w:val="28"/>
          <w:highlight w:val="none"/>
        </w:rPr>
        <w:t>C</w:t>
      </w:r>
      <w:r>
        <w:rPr>
          <w:rFonts w:hint="eastAsia" w:ascii="黑体" w:hAnsi="宋体" w:eastAsia="黑体"/>
          <w:b/>
          <w:bCs/>
          <w:sz w:val="28"/>
          <w:szCs w:val="28"/>
          <w:highlight w:val="none"/>
          <w:lang w:val="en-US" w:eastAsia="zh-CN"/>
        </w:rPr>
        <w:t xml:space="preserve">  </w:t>
      </w:r>
      <w:r>
        <w:rPr>
          <w:rFonts w:hint="eastAsia" w:ascii="黑体" w:hAnsi="宋体" w:eastAsia="黑体"/>
          <w:b/>
          <w:bCs/>
          <w:sz w:val="28"/>
          <w:szCs w:val="28"/>
          <w:highlight w:val="none"/>
        </w:rPr>
        <w:t>响应文件</w:t>
      </w:r>
    </w:p>
    <w:p>
      <w:pPr>
        <w:snapToGrid w:val="0"/>
        <w:spacing w:line="360" w:lineRule="auto"/>
        <w:ind w:firstLine="484" w:firstLineChars="200"/>
        <w:jc w:val="center"/>
        <w:rPr>
          <w:rFonts w:ascii="宋体" w:hAnsi="宋体"/>
          <w:sz w:val="24"/>
          <w:highlight w:val="none"/>
        </w:rPr>
      </w:pPr>
    </w:p>
    <w:p>
      <w:pPr>
        <w:snapToGrid w:val="0"/>
        <w:spacing w:line="360" w:lineRule="auto"/>
        <w:rPr>
          <w:rFonts w:ascii="宋体" w:hAnsi="宋体"/>
          <w:b/>
          <w:sz w:val="24"/>
          <w:highlight w:val="none"/>
        </w:rPr>
      </w:pPr>
      <w:r>
        <w:rPr>
          <w:rFonts w:hint="eastAsia" w:ascii="宋体" w:hAnsi="宋体"/>
          <w:b/>
          <w:sz w:val="24"/>
          <w:highlight w:val="none"/>
          <w:lang w:eastAsia="zh-CN"/>
        </w:rPr>
        <w:t>八</w:t>
      </w:r>
      <w:r>
        <w:rPr>
          <w:rFonts w:hint="eastAsia" w:ascii="宋体" w:hAnsi="宋体"/>
          <w:b/>
          <w:sz w:val="24"/>
          <w:highlight w:val="none"/>
        </w:rPr>
        <w:t>、响应文件计量单位</w:t>
      </w:r>
    </w:p>
    <w:p>
      <w:pPr>
        <w:snapToGrid w:val="0"/>
        <w:spacing w:line="360" w:lineRule="auto"/>
        <w:ind w:firstLine="424" w:firstLineChars="200"/>
        <w:rPr>
          <w:rFonts w:ascii="宋体" w:hAnsi="宋体"/>
          <w:szCs w:val="21"/>
          <w:highlight w:val="none"/>
        </w:rPr>
      </w:pPr>
      <w:r>
        <w:rPr>
          <w:rFonts w:ascii="宋体" w:hAnsi="宋体"/>
          <w:szCs w:val="21"/>
          <w:highlight w:val="none"/>
        </w:rPr>
        <w:t>响应文件中所使用的计量单位，除有特殊要求外，应采用国家法定计量单位，报价最小单位为人民币元。</w:t>
      </w:r>
    </w:p>
    <w:p>
      <w:pPr>
        <w:snapToGrid w:val="0"/>
        <w:spacing w:line="360" w:lineRule="auto"/>
        <w:rPr>
          <w:rFonts w:ascii="宋体" w:hAnsi="宋体"/>
          <w:b/>
          <w:sz w:val="24"/>
          <w:highlight w:val="none"/>
        </w:rPr>
      </w:pPr>
      <w:r>
        <w:rPr>
          <w:rFonts w:hint="eastAsia" w:ascii="宋体" w:hAnsi="宋体"/>
          <w:b/>
          <w:sz w:val="24"/>
          <w:highlight w:val="none"/>
          <w:lang w:eastAsia="zh-CN"/>
        </w:rPr>
        <w:t>九</w:t>
      </w:r>
      <w:r>
        <w:rPr>
          <w:rFonts w:hint="eastAsia" w:ascii="宋体" w:hAnsi="宋体"/>
          <w:b/>
          <w:sz w:val="24"/>
          <w:highlight w:val="none"/>
        </w:rPr>
        <w:t>、响应文件的组成</w:t>
      </w:r>
    </w:p>
    <w:p>
      <w:pPr>
        <w:pStyle w:val="6"/>
        <w:spacing w:before="0" w:after="0"/>
        <w:rPr>
          <w:rFonts w:ascii="宋体" w:hAnsi="宋体" w:eastAsia="宋体" w:cs="宋体"/>
          <w:sz w:val="21"/>
          <w:szCs w:val="21"/>
          <w:highlight w:val="none"/>
        </w:rPr>
      </w:pPr>
      <w:bookmarkStart w:id="50" w:name="_Toc24533"/>
      <w:bookmarkStart w:id="51" w:name="_Toc10738"/>
      <w:bookmarkStart w:id="52" w:name="_Toc11855"/>
      <w:bookmarkStart w:id="53" w:name="_Toc5598"/>
      <w:r>
        <w:rPr>
          <w:rFonts w:hint="eastAsia" w:ascii="宋体" w:hAnsi="宋体" w:eastAsia="宋体" w:cs="宋体"/>
          <w:b w:val="0"/>
          <w:bCs/>
          <w:sz w:val="21"/>
          <w:szCs w:val="21"/>
          <w:highlight w:val="none"/>
        </w:rPr>
        <w:t>（一）响应文件（统一格式）包括：</w:t>
      </w:r>
      <w:bookmarkEnd w:id="50"/>
      <w:bookmarkEnd w:id="51"/>
      <w:bookmarkEnd w:id="52"/>
      <w:bookmarkEnd w:id="53"/>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1、法定代表人授权书</w:t>
      </w:r>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2、响应书</w:t>
      </w:r>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3、资格证明文件</w:t>
      </w:r>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4、法定代表人和授权代表身份证明</w:t>
      </w:r>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5、响应文件附件</w:t>
      </w:r>
    </w:p>
    <w:p>
      <w:pPr>
        <w:pStyle w:val="15"/>
        <w:tabs>
          <w:tab w:val="right" w:leader="dot" w:pos="8779"/>
        </w:tabs>
        <w:spacing w:line="360" w:lineRule="auto"/>
        <w:rPr>
          <w:rFonts w:ascii="宋体" w:hAnsi="宋体" w:cs="宋体"/>
          <w:szCs w:val="21"/>
          <w:highlight w:val="none"/>
        </w:rPr>
      </w:pPr>
      <w:r>
        <w:rPr>
          <w:rFonts w:hint="eastAsia" w:ascii="宋体" w:hAnsi="宋体" w:cs="宋体"/>
          <w:szCs w:val="21"/>
          <w:highlight w:val="none"/>
        </w:rPr>
        <w:t xml:space="preserve">    6、技术偏离表</w:t>
      </w:r>
    </w:p>
    <w:p>
      <w:pPr>
        <w:spacing w:line="360" w:lineRule="auto"/>
        <w:rPr>
          <w:rFonts w:ascii="宋体" w:hAnsi="宋体" w:eastAsia="宋体" w:cs="宋体"/>
          <w:szCs w:val="21"/>
          <w:highlight w:val="none"/>
        </w:rPr>
      </w:pPr>
      <w:r>
        <w:rPr>
          <w:rFonts w:hint="eastAsia" w:ascii="宋体" w:hAnsi="宋体" w:eastAsia="宋体" w:cs="宋体"/>
          <w:szCs w:val="21"/>
          <w:highlight w:val="none"/>
        </w:rPr>
        <w:t>（二）资格证明及其他文件包括:</w:t>
      </w:r>
    </w:p>
    <w:p>
      <w:pPr>
        <w:pStyle w:val="15"/>
        <w:tabs>
          <w:tab w:val="right" w:leader="dot" w:pos="8779"/>
        </w:tabs>
        <w:spacing w:line="360" w:lineRule="auto"/>
        <w:rPr>
          <w:rFonts w:hint="eastAsia" w:ascii="宋体" w:hAnsi="宋体" w:cs="宋体"/>
          <w:szCs w:val="21"/>
          <w:highlight w:val="none"/>
        </w:rPr>
      </w:pPr>
      <w:r>
        <w:rPr>
          <w:rFonts w:hint="eastAsia" w:ascii="宋体" w:hAnsi="宋体" w:eastAsia="宋体" w:cs="宋体"/>
          <w:kern w:val="0"/>
          <w:szCs w:val="21"/>
          <w:highlight w:val="none"/>
        </w:rPr>
        <w:t xml:space="preserve">    </w:t>
      </w:r>
      <w:r>
        <w:rPr>
          <w:rFonts w:hint="eastAsia" w:ascii="宋体" w:hAnsi="宋体" w:cs="宋体"/>
          <w:szCs w:val="21"/>
          <w:highlight w:val="none"/>
        </w:rPr>
        <w:t>★1、营业执照副本（复印件）</w:t>
      </w:r>
    </w:p>
    <w:p>
      <w:pPr>
        <w:pStyle w:val="15"/>
        <w:tabs>
          <w:tab w:val="right" w:leader="dot" w:pos="8779"/>
        </w:tabs>
        <w:spacing w:line="360" w:lineRule="auto"/>
        <w:ind w:firstLine="424" w:firstLineChars="200"/>
        <w:rPr>
          <w:rFonts w:hint="eastAsia" w:ascii="宋体" w:hAnsi="宋体" w:cs="宋体"/>
          <w:szCs w:val="21"/>
          <w:highlight w:val="none"/>
        </w:rPr>
      </w:pPr>
      <w:r>
        <w:rPr>
          <w:rFonts w:hint="eastAsia" w:ascii="宋体" w:hAnsi="宋体" w:cs="宋体"/>
          <w:szCs w:val="21"/>
          <w:highlight w:val="none"/>
        </w:rPr>
        <w:t>★2、法定代表人授权书(法定代表人签字并加盖公章)</w:t>
      </w:r>
    </w:p>
    <w:p>
      <w:pPr>
        <w:keepNext w:val="0"/>
        <w:keepLines w:val="0"/>
        <w:pageBreakBefore w:val="0"/>
        <w:widowControl w:val="0"/>
        <w:kinsoku/>
        <w:wordWrap/>
        <w:overflowPunct/>
        <w:topLinePunct w:val="0"/>
        <w:autoSpaceDE/>
        <w:autoSpaceDN/>
        <w:bidi w:val="0"/>
        <w:adjustRightInd/>
        <w:spacing w:line="360" w:lineRule="auto"/>
        <w:ind w:firstLine="424"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★3、法定代表人或授权代表身份证明（身份证正反面复印件）</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Cs w:val="21"/>
          <w:highlight w:val="none"/>
          <w:lang w:val="en-US" w:eastAsia="zh-CN"/>
        </w:rPr>
        <w:t>4、</w:t>
      </w:r>
      <w:r>
        <w:rPr>
          <w:rFonts w:hint="eastAsia" w:ascii="宋体" w:hAnsi="宋体" w:eastAsia="宋体" w:cs="宋体"/>
          <w:kern w:val="2"/>
          <w:sz w:val="21"/>
          <w:szCs w:val="21"/>
          <w:highlight w:val="none"/>
          <w:lang w:val="en-US" w:eastAsia="zh-CN" w:bidi="ar-SA"/>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1）“信用中国”网站（www.creditchina.gov.cn）；</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2）“中国政府采购网”（www.ccgp.gov.cn/cr/list）；</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3）“国家企业信用信息公示系统”（http://www.gsxt.gov.cn/index.html）；</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★注：供应商应在响应文件中提供‘没有重大违法记录的声明’；</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(1)上述条件之一不满足者，将被视为其资格审查不合格，不得进入下一步的评审程序。</w:t>
      </w:r>
    </w:p>
    <w:p>
      <w:pPr>
        <w:keepNext w:val="0"/>
        <w:keepLines w:val="0"/>
        <w:pageBreakBefore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(2)为保持评审工作的连续性，磋商小组对审查结果不作结论外任何解释和澄清。</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(3)供应商所报材料应真实有效并附相关佐证材料，在磋商时响应文件中装订原件或扫描件或复印件（加盖单位公章），否则其响应文件将被否决。</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(4)供应商必须携带以上“资格证明及其他文件”中与响应文件书面材料一致的全部原件、复印件（复印件加盖公章、原件备查）。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sz w:val="24"/>
          <w:highlight w:val="none"/>
          <w:lang w:val="en-US" w:eastAsia="zh-CN"/>
        </w:rPr>
      </w:pPr>
      <w:r>
        <w:rPr>
          <w:rFonts w:hint="eastAsia" w:ascii="宋体" w:hAnsi="宋体"/>
          <w:b/>
          <w:sz w:val="24"/>
          <w:highlight w:val="none"/>
          <w:lang w:val="en-US" w:eastAsia="zh-CN"/>
        </w:rPr>
        <w:t>十、响应文件附件的编制及编目</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1、报价书附件由供应商自行编制，规格幅面应与正文一致，附于正文之后，与正文页码统一编目编码并将响应文件进行胶装。</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2、报价书附件必须包含以下内容：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（1）产品主要技术参数明细表及报价表；</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（2）技术服务和售后服务的内容及措施。</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3、报价书附件可以包含以下内容：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(1)产品详细说明书（包括产品主要技术数据和性能的详细描述或提供产品样本）；</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(2)产品制造、验收标准；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(3)详细的交货清单；</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(4)特殊工具及备件清单；</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(5)供应商推荐的供选择的配套货物表；</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(6)提供报价所有辅助性材（资）料。</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eastAsia="zh-CN"/>
        </w:rPr>
        <w:t>一</w:t>
      </w:r>
      <w:r>
        <w:rPr>
          <w:rFonts w:hint="eastAsia" w:ascii="宋体" w:hAnsi="宋体"/>
          <w:b/>
          <w:sz w:val="24"/>
          <w:highlight w:val="none"/>
        </w:rPr>
        <w:t>、报价</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1、所有价格均以人民币报价，所报价格为以打包形式送达用户指定寝室并由厂商购买锁具和装柜完毕价格，报价须对单套价格、总价分别报价，以单价修订总价。</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注：一套备品为</w:t>
      </w:r>
      <w:r>
        <w:rPr>
          <w:rFonts w:hint="eastAsia" w:ascii="宋体" w:hAnsi="宋体" w:eastAsia="宋体" w:cs="宋体"/>
          <w:color w:val="000000"/>
          <w:kern w:val="0"/>
          <w:szCs w:val="21"/>
          <w:highlight w:val="none"/>
        </w:rPr>
        <w:t>棉被胎（1件）、棉褥胎（1件）、被里（1件）、褥里（1件）、被罩（2件）、床单（2件）、枕套（2件）、枕芯（1件）。</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2、磋商报价分两次(特殊情况除外)，即初始报价（供应商递交的响应文件中的报价）及磋商结束后的最后报价（该报价将做为最后的成交价格）。</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3、具备初始报价,方有资格做第二次报价。</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4、最低报价不能作为成交的唯一保证。</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5、如供应商未按规定要求和时间递交最后报价，该供应商提交的磋商响应文件中的初始报价将作为其最后报价。</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6、超出预算金额的最后报价无效。</w:t>
      </w:r>
    </w:p>
    <w:p>
      <w:pPr>
        <w:widowControl/>
        <w:snapToGrid w:val="0"/>
        <w:spacing w:line="360" w:lineRule="auto"/>
        <w:jc w:val="left"/>
        <w:rPr>
          <w:rFonts w:ascii="宋体" w:hAnsi="宋体"/>
          <w:b/>
          <w:bCs/>
          <w:sz w:val="24"/>
          <w:highlight w:val="none"/>
        </w:rPr>
      </w:pPr>
      <w:r>
        <w:rPr>
          <w:rFonts w:hint="eastAsia" w:ascii="宋体" w:hAnsi="宋体"/>
          <w:b/>
          <w:bCs/>
          <w:sz w:val="24"/>
          <w:highlight w:val="none"/>
        </w:rPr>
        <w:t>十</w:t>
      </w:r>
      <w:r>
        <w:rPr>
          <w:rFonts w:hint="eastAsia" w:ascii="宋体" w:hAnsi="宋体"/>
          <w:b/>
          <w:bCs/>
          <w:sz w:val="24"/>
          <w:highlight w:val="none"/>
          <w:lang w:eastAsia="zh-CN"/>
        </w:rPr>
        <w:t>二</w:t>
      </w:r>
      <w:r>
        <w:rPr>
          <w:rFonts w:hint="eastAsia" w:ascii="宋体" w:hAnsi="宋体"/>
          <w:b/>
          <w:bCs/>
          <w:sz w:val="24"/>
          <w:highlight w:val="none"/>
        </w:rPr>
        <w:t>、响应文件的签署及规定</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（一）组成响应文件的各项资料均遵守本条规定；</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（二）响应文件应按规范格式编制、填写，并按要求签字、加盖公章；</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（三）响应文件应装订成册，统一编制页码且页码连续；</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（四）响应文件的正本必须用不退色的墨水填写或打印，注明“正本”字样。副本可以用复印件；（正本壹份、副本肆份）</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（五）响应文件不得涂改和增删，如有修改错漏处，必须同一签署人签字并加盖公章；</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（六）响应文件因字迹潦草或表达不清所引起的后果由供应商自行负责；</w:t>
      </w:r>
    </w:p>
    <w:p>
      <w:pPr>
        <w:snapToGrid w:val="0"/>
        <w:spacing w:line="360" w:lineRule="auto"/>
        <w:ind w:firstLine="461" w:firstLineChars="218"/>
        <w:rPr>
          <w:rFonts w:hint="eastAsia" w:ascii="宋体" w:hAnsi="宋体" w:eastAsia="宋体" w:cs="宋体"/>
          <w:szCs w:val="21"/>
          <w:highlight w:val="none"/>
          <w:lang w:eastAsia="zh-CN"/>
        </w:rPr>
      </w:pPr>
      <w:r>
        <w:rPr>
          <w:rFonts w:hint="eastAsia" w:ascii="宋体" w:hAnsi="宋体" w:eastAsia="宋体" w:cs="宋体"/>
          <w:szCs w:val="21"/>
          <w:highlight w:val="none"/>
        </w:rPr>
        <w:t>（七）法人代表授权书应由法定代表人签字并加盖公章</w:t>
      </w:r>
      <w:r>
        <w:rPr>
          <w:rFonts w:hint="eastAsia" w:ascii="宋体" w:hAnsi="宋体" w:eastAsia="宋体" w:cs="宋体"/>
          <w:szCs w:val="21"/>
          <w:highlight w:val="none"/>
          <w:lang w:eastAsia="zh-CN"/>
        </w:rPr>
        <w:t>；</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）供应商应将全部</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文件密封在一个密封袋中，密封袋封口处加盖单位公章或密封章，并在包封上标明如下标记：</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（1）供应商名称；</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（2）项目名称；</w:t>
      </w:r>
    </w:p>
    <w:p>
      <w:pPr>
        <w:snapToGrid w:val="0"/>
        <w:spacing w:line="360" w:lineRule="auto"/>
        <w:ind w:firstLine="461" w:firstLineChars="218"/>
        <w:rPr>
          <w:rFonts w:hint="eastAsia" w:ascii="宋体" w:hAnsi="宋体" w:eastAsia="宋体" w:cs="宋体"/>
          <w:szCs w:val="21"/>
          <w:highlight w:val="none"/>
        </w:rPr>
      </w:pPr>
      <w:r>
        <w:rPr>
          <w:rFonts w:hint="eastAsia" w:ascii="宋体" w:hAnsi="宋体" w:eastAsia="宋体" w:cs="宋体"/>
          <w:szCs w:val="21"/>
          <w:highlight w:val="none"/>
        </w:rPr>
        <w:t>（3）采购编号；</w:t>
      </w:r>
    </w:p>
    <w:p>
      <w:pPr>
        <w:snapToGrid w:val="0"/>
        <w:spacing w:line="360" w:lineRule="auto"/>
        <w:ind w:firstLine="461" w:firstLineChars="218"/>
        <w:rPr>
          <w:rFonts w:hint="eastAsia" w:ascii="宋体" w:hAnsi="宋体" w:eastAsia="宋体" w:cs="宋体"/>
          <w:szCs w:val="21"/>
          <w:highlight w:val="none"/>
          <w:lang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时启封</w:t>
      </w:r>
      <w:r>
        <w:rPr>
          <w:rFonts w:hint="eastAsia" w:ascii="宋体" w:hAnsi="宋体" w:eastAsia="宋体" w:cs="宋体"/>
          <w:szCs w:val="21"/>
          <w:highlight w:val="none"/>
          <w:lang w:eastAsia="zh-CN"/>
        </w:rPr>
        <w:t>；</w:t>
      </w:r>
    </w:p>
    <w:p>
      <w:pPr>
        <w:snapToGrid w:val="0"/>
        <w:spacing w:line="360" w:lineRule="auto"/>
        <w:ind w:firstLine="461" w:firstLineChars="218"/>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九</w:t>
      </w:r>
      <w:r>
        <w:rPr>
          <w:rFonts w:hint="eastAsia" w:ascii="宋体" w:hAnsi="宋体" w:eastAsia="宋体" w:cs="宋体"/>
          <w:szCs w:val="21"/>
          <w:highlight w:val="none"/>
        </w:rPr>
        <w:t>）因密封不合格而导致的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文件的遗失或提前启封后果由供应商负责</w:t>
      </w:r>
      <w:r>
        <w:rPr>
          <w:rFonts w:hint="eastAsia" w:ascii="宋体" w:hAnsi="宋体" w:eastAsia="宋体" w:cs="宋体"/>
          <w:szCs w:val="21"/>
          <w:highlight w:val="none"/>
          <w:lang w:eastAsia="zh-CN"/>
        </w:rPr>
        <w:t>；</w:t>
      </w:r>
    </w:p>
    <w:p>
      <w:pPr>
        <w:snapToGrid w:val="0"/>
        <w:spacing w:line="360" w:lineRule="auto"/>
        <w:ind w:firstLine="461" w:firstLineChars="218"/>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十</w:t>
      </w: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磋商</w:t>
      </w:r>
      <w:r>
        <w:rPr>
          <w:rFonts w:hint="eastAsia" w:ascii="宋体" w:hAnsi="宋体" w:eastAsia="宋体" w:cs="宋体"/>
          <w:b/>
          <w:bCs/>
          <w:szCs w:val="21"/>
          <w:highlight w:val="none"/>
        </w:rPr>
        <w:t>文件必须胶装，严禁用活页装订，否则其</w:t>
      </w:r>
      <w:r>
        <w:rPr>
          <w:rFonts w:hint="eastAsia" w:ascii="宋体" w:hAnsi="宋体" w:eastAsia="宋体" w:cs="宋体"/>
          <w:b/>
          <w:bCs/>
          <w:szCs w:val="21"/>
          <w:highlight w:val="none"/>
          <w:lang w:val="en-US" w:eastAsia="zh-CN"/>
        </w:rPr>
        <w:t>磋商</w:t>
      </w:r>
      <w:r>
        <w:rPr>
          <w:rFonts w:hint="eastAsia" w:ascii="宋体" w:hAnsi="宋体" w:eastAsia="宋体" w:cs="宋体"/>
          <w:b/>
          <w:bCs/>
          <w:szCs w:val="21"/>
          <w:highlight w:val="none"/>
        </w:rPr>
        <w:t>文件将被拒绝</w:t>
      </w:r>
      <w:r>
        <w:rPr>
          <w:rFonts w:hint="eastAsia" w:ascii="宋体" w:hAnsi="宋体" w:eastAsia="宋体" w:cs="宋体"/>
          <w:b/>
          <w:bCs/>
          <w:szCs w:val="21"/>
          <w:highlight w:val="none"/>
          <w:lang w:eastAsia="zh-CN"/>
        </w:rPr>
        <w:t>。</w:t>
      </w:r>
    </w:p>
    <w:p>
      <w:pPr>
        <w:snapToGrid w:val="0"/>
        <w:spacing w:line="360" w:lineRule="auto"/>
        <w:rPr>
          <w:rFonts w:ascii="宋体" w:cs="宋体"/>
          <w:b/>
          <w:bCs/>
          <w:color w:val="000000"/>
          <w:sz w:val="24"/>
          <w:highlight w:val="none"/>
          <w:lang w:val="zh-CN"/>
        </w:rPr>
      </w:pPr>
      <w:r>
        <w:rPr>
          <w:rFonts w:hint="eastAsia" w:ascii="宋体" w:hAnsi="宋体"/>
          <w:b/>
          <w:bCs/>
          <w:sz w:val="24"/>
          <w:highlight w:val="none"/>
        </w:rPr>
        <w:t>十</w:t>
      </w:r>
      <w:r>
        <w:rPr>
          <w:rFonts w:hint="eastAsia" w:ascii="宋体" w:hAnsi="宋体"/>
          <w:b/>
          <w:bCs/>
          <w:sz w:val="24"/>
          <w:highlight w:val="none"/>
          <w:lang w:eastAsia="zh-CN"/>
        </w:rPr>
        <w:t>三</w:t>
      </w:r>
      <w:r>
        <w:rPr>
          <w:rFonts w:hint="eastAsia" w:ascii="宋体" w:hAnsi="宋体"/>
          <w:b/>
          <w:bCs/>
          <w:sz w:val="24"/>
          <w:highlight w:val="none"/>
        </w:rPr>
        <w:t>、</w:t>
      </w:r>
      <w:r>
        <w:rPr>
          <w:rFonts w:hint="eastAsia" w:ascii="宋体" w:cs="宋体"/>
          <w:b/>
          <w:bCs/>
          <w:color w:val="000000"/>
          <w:sz w:val="24"/>
          <w:highlight w:val="none"/>
          <w:lang w:val="zh-CN"/>
        </w:rPr>
        <w:t>技术参数条款出现下列情况之一条款的，响应文件无效：</w:t>
      </w:r>
    </w:p>
    <w:p>
      <w:pPr>
        <w:autoSpaceDE w:val="0"/>
        <w:autoSpaceDN w:val="0"/>
        <w:adjustRightInd w:val="0"/>
        <w:spacing w:line="360" w:lineRule="auto"/>
        <w:ind w:firstLine="530" w:firstLineChars="250"/>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1、★号条款必须满足，任一条★号条款未满足，响应文件无效；</w:t>
      </w:r>
    </w:p>
    <w:p>
      <w:pPr>
        <w:autoSpaceDE w:val="0"/>
        <w:autoSpaceDN w:val="0"/>
        <w:adjustRightInd w:val="0"/>
        <w:spacing w:line="360" w:lineRule="auto"/>
        <w:ind w:firstLine="530" w:firstLineChars="250"/>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2、技术参数或服务要求的非</w:t>
      </w:r>
      <w:r>
        <w:rPr>
          <w:rFonts w:hint="eastAsia" w:ascii="宋体" w:hAnsi="宋体" w:eastAsia="宋体" w:cs="宋体"/>
          <w:kern w:val="0"/>
          <w:szCs w:val="21"/>
          <w:highlight w:val="none"/>
        </w:rPr>
        <w:t>★</w:t>
      </w:r>
      <w:r>
        <w:rPr>
          <w:rFonts w:hint="eastAsia" w:ascii="宋体" w:hAnsi="宋体" w:eastAsia="宋体" w:cs="宋体"/>
          <w:bCs/>
          <w:color w:val="000000"/>
          <w:szCs w:val="21"/>
          <w:highlight w:val="none"/>
          <w:lang w:val="zh-CN"/>
        </w:rPr>
        <w:t>号不满足条款在5条以上的（含5条），响应文件无效；</w:t>
      </w:r>
    </w:p>
    <w:p>
      <w:pPr>
        <w:autoSpaceDE w:val="0"/>
        <w:autoSpaceDN w:val="0"/>
        <w:adjustRightInd w:val="0"/>
        <w:spacing w:line="360" w:lineRule="auto"/>
        <w:ind w:firstLine="530" w:firstLineChars="250"/>
        <w:rPr>
          <w:rFonts w:ascii="宋体" w:hAnsi="宋体" w:eastAsia="宋体" w:cs="宋体"/>
          <w:bCs/>
          <w:szCs w:val="21"/>
          <w:highlight w:val="none"/>
          <w:lang w:val="zh-CN"/>
        </w:rPr>
      </w:pPr>
      <w:r>
        <w:rPr>
          <w:rFonts w:hint="eastAsia" w:ascii="宋体" w:hAnsi="宋体" w:eastAsia="宋体" w:cs="宋体"/>
          <w:bCs/>
          <w:kern w:val="0"/>
          <w:szCs w:val="21"/>
          <w:highlight w:val="none"/>
        </w:rPr>
        <w:t>3、</w:t>
      </w:r>
      <w:r>
        <w:rPr>
          <w:rFonts w:hint="eastAsia" w:ascii="宋体" w:hAnsi="宋体" w:eastAsia="宋体" w:cs="宋体"/>
          <w:bCs/>
          <w:szCs w:val="21"/>
          <w:highlight w:val="none"/>
        </w:rPr>
        <w:t>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30" w:firstLineChars="250"/>
        <w:rPr>
          <w:rFonts w:ascii="宋体" w:hAnsi="宋体" w:eastAsia="宋体" w:cs="宋体"/>
          <w:kern w:val="0"/>
          <w:szCs w:val="21"/>
          <w:highlight w:val="none"/>
        </w:rPr>
      </w:pPr>
      <w:r>
        <w:rPr>
          <w:rFonts w:hint="eastAsia" w:ascii="宋体" w:hAnsi="宋体" w:eastAsia="宋体" w:cs="宋体"/>
          <w:bCs/>
          <w:szCs w:val="21"/>
          <w:highlight w:val="none"/>
        </w:rPr>
        <w:t>4</w:t>
      </w:r>
      <w:r>
        <w:rPr>
          <w:rFonts w:hint="eastAsia" w:ascii="宋体" w:hAnsi="宋体" w:eastAsia="宋体" w:cs="宋体"/>
          <w:bCs/>
          <w:szCs w:val="21"/>
          <w:highlight w:val="none"/>
          <w:lang w:val="zh-CN"/>
        </w:rPr>
        <w:t>、供应商所提报的技术参数</w:t>
      </w:r>
      <w:r>
        <w:rPr>
          <w:rFonts w:hint="eastAsia" w:ascii="宋体" w:hAnsi="宋体" w:eastAsia="宋体" w:cs="宋体"/>
          <w:kern w:val="0"/>
          <w:szCs w:val="21"/>
          <w:highlight w:val="none"/>
        </w:rPr>
        <w:t>应如实填写，并按“竞争性磋商文件技术要求”逐项应答，如简单填写“响应或完全响应”的，响应文件无效。</w:t>
      </w:r>
    </w:p>
    <w:p>
      <w:pPr>
        <w:snapToGrid w:val="0"/>
        <w:spacing w:line="360" w:lineRule="auto"/>
        <w:rPr>
          <w:rFonts w:ascii="宋体" w:hAnsi="宋体"/>
          <w:b/>
          <w:sz w:val="24"/>
          <w:highlight w:val="none"/>
        </w:rPr>
      </w:pPr>
      <w:r>
        <w:rPr>
          <w:rFonts w:hint="eastAsia" w:ascii="宋体" w:cs="宋体"/>
          <w:b/>
          <w:bCs/>
          <w:sz w:val="24"/>
          <w:highlight w:val="none"/>
          <w:lang w:val="zh-CN"/>
        </w:rPr>
        <w:t>十四、</w:t>
      </w:r>
      <w:r>
        <w:rPr>
          <w:rFonts w:hint="eastAsia"/>
          <w:b/>
          <w:spacing w:val="-2"/>
          <w:sz w:val="24"/>
          <w:highlight w:val="none"/>
        </w:rPr>
        <w:t>供应商出现下列情况之一的响应文件无效</w:t>
      </w:r>
      <w:r>
        <w:rPr>
          <w:rFonts w:hint="eastAsia" w:ascii="宋体" w:hAnsi="宋体"/>
          <w:b/>
          <w:sz w:val="24"/>
          <w:highlight w:val="none"/>
        </w:rPr>
        <w:t>：</w:t>
      </w:r>
    </w:p>
    <w:p>
      <w:pPr>
        <w:pStyle w:val="31"/>
        <w:spacing w:line="360" w:lineRule="auto"/>
        <w:ind w:firstLine="476" w:firstLineChars="225"/>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bCs/>
          <w:color w:val="000000"/>
          <w:sz w:val="21"/>
          <w:szCs w:val="21"/>
          <w:highlight w:val="none"/>
          <w:lang w:val="zh-CN"/>
        </w:rPr>
        <w:t>非</w:t>
      </w:r>
      <w:r>
        <w:rPr>
          <w:rFonts w:hint="eastAsia" w:ascii="宋体" w:hAnsi="宋体" w:cs="宋体"/>
          <w:kern w:val="0"/>
          <w:sz w:val="21"/>
          <w:szCs w:val="21"/>
          <w:highlight w:val="none"/>
        </w:rPr>
        <w:t>★</w:t>
      </w:r>
      <w:r>
        <w:rPr>
          <w:rFonts w:hint="eastAsia" w:ascii="宋体" w:hAnsi="宋体" w:cs="宋体"/>
          <w:bCs/>
          <w:color w:val="000000"/>
          <w:sz w:val="21"/>
          <w:szCs w:val="21"/>
          <w:highlight w:val="none"/>
          <w:lang w:val="zh-CN"/>
        </w:rPr>
        <w:t>条款有重大偏离经评审专家认定无法满足竞争性磋商文件需求的</w:t>
      </w:r>
      <w:r>
        <w:rPr>
          <w:rFonts w:hint="eastAsia" w:ascii="宋体" w:hAnsi="宋体" w:cs="宋体"/>
          <w:sz w:val="21"/>
          <w:szCs w:val="21"/>
          <w:highlight w:val="none"/>
        </w:rPr>
        <w:t>；</w:t>
      </w:r>
    </w:p>
    <w:p>
      <w:pPr>
        <w:pStyle w:val="31"/>
        <w:spacing w:line="360" w:lineRule="auto"/>
        <w:ind w:firstLine="476" w:firstLineChars="225"/>
        <w:rPr>
          <w:rFonts w:ascii="宋体" w:hAnsi="宋体" w:cs="宋体"/>
          <w:sz w:val="21"/>
          <w:szCs w:val="21"/>
          <w:highlight w:val="none"/>
        </w:rPr>
      </w:pPr>
      <w:r>
        <w:rPr>
          <w:rFonts w:hint="eastAsia" w:ascii="宋体" w:hAnsi="宋体" w:cs="宋体"/>
          <w:sz w:val="21"/>
          <w:szCs w:val="21"/>
          <w:highlight w:val="none"/>
        </w:rPr>
        <w:t>2、超出经营范围的；</w:t>
      </w:r>
    </w:p>
    <w:p>
      <w:pPr>
        <w:pStyle w:val="31"/>
        <w:spacing w:line="360" w:lineRule="auto"/>
        <w:ind w:firstLine="476" w:firstLineChars="225"/>
        <w:rPr>
          <w:rFonts w:ascii="宋体" w:hAnsi="宋体" w:cs="宋体"/>
          <w:sz w:val="21"/>
          <w:szCs w:val="21"/>
          <w:highlight w:val="none"/>
        </w:rPr>
      </w:pPr>
      <w:r>
        <w:rPr>
          <w:rFonts w:hint="eastAsia" w:ascii="宋体" w:hAnsi="宋体" w:cs="宋体"/>
          <w:sz w:val="21"/>
          <w:szCs w:val="21"/>
          <w:highlight w:val="none"/>
        </w:rPr>
        <w:t>3、未按要求签字、盖章的；</w:t>
      </w:r>
    </w:p>
    <w:p>
      <w:pPr>
        <w:pStyle w:val="31"/>
        <w:spacing w:line="360" w:lineRule="auto"/>
        <w:ind w:firstLine="476" w:firstLineChars="225"/>
        <w:rPr>
          <w:rFonts w:ascii="宋体" w:hAnsi="宋体" w:cs="宋体"/>
          <w:sz w:val="21"/>
          <w:szCs w:val="21"/>
          <w:highlight w:val="none"/>
        </w:rPr>
      </w:pPr>
      <w:r>
        <w:rPr>
          <w:rFonts w:hint="eastAsia" w:ascii="宋体" w:hAnsi="宋体" w:cs="宋体"/>
          <w:sz w:val="21"/>
          <w:szCs w:val="21"/>
          <w:highlight w:val="none"/>
        </w:rPr>
        <w:t>4、提供虚假材料的；（提供虚假材料进行报价、应答的，还将移交监管部门依法处理）</w:t>
      </w:r>
    </w:p>
    <w:p>
      <w:pPr>
        <w:pStyle w:val="31"/>
        <w:spacing w:line="360" w:lineRule="auto"/>
        <w:ind w:firstLine="476" w:firstLineChars="225"/>
        <w:rPr>
          <w:rFonts w:ascii="宋体" w:hAnsi="宋体" w:cs="宋体"/>
          <w:sz w:val="21"/>
          <w:szCs w:val="21"/>
          <w:highlight w:val="none"/>
        </w:rPr>
      </w:pPr>
      <w:r>
        <w:rPr>
          <w:rFonts w:hint="eastAsia" w:ascii="宋体" w:hAnsi="宋体" w:cs="宋体"/>
          <w:sz w:val="21"/>
          <w:szCs w:val="21"/>
          <w:highlight w:val="none"/>
        </w:rPr>
        <w:t>5、技术参数与所提供的技术证明文件不一致的；</w:t>
      </w:r>
    </w:p>
    <w:p>
      <w:pPr>
        <w:pStyle w:val="31"/>
        <w:spacing w:line="360" w:lineRule="auto"/>
        <w:ind w:firstLine="476" w:firstLineChars="225"/>
        <w:rPr>
          <w:rFonts w:ascii="宋体" w:hAnsi="宋体" w:cs="宋体"/>
          <w:bCs/>
          <w:sz w:val="21"/>
          <w:szCs w:val="21"/>
          <w:highlight w:val="none"/>
        </w:rPr>
      </w:pPr>
      <w:r>
        <w:rPr>
          <w:rFonts w:hint="eastAsia" w:ascii="宋体" w:hAnsi="宋体" w:cs="宋体"/>
          <w:bCs/>
          <w:sz w:val="21"/>
          <w:szCs w:val="21"/>
          <w:highlight w:val="none"/>
        </w:rPr>
        <w:t>6、所报项目在实际运行中，其使用成本过高、使用条件苛刻(需经磋商小组确定)不能被采购人接受的；</w:t>
      </w:r>
    </w:p>
    <w:p>
      <w:pPr>
        <w:pStyle w:val="31"/>
        <w:spacing w:line="360" w:lineRule="auto"/>
        <w:ind w:firstLine="476" w:firstLineChars="225"/>
        <w:rPr>
          <w:rFonts w:ascii="宋体" w:hAnsi="宋体" w:cs="宋体"/>
          <w:bCs/>
          <w:sz w:val="21"/>
          <w:szCs w:val="21"/>
          <w:highlight w:val="none"/>
        </w:rPr>
      </w:pPr>
      <w:r>
        <w:rPr>
          <w:rFonts w:hint="eastAsia" w:ascii="宋体" w:hAnsi="宋体" w:cs="宋体"/>
          <w:bCs/>
          <w:sz w:val="21"/>
          <w:szCs w:val="21"/>
          <w:highlight w:val="none"/>
        </w:rPr>
        <w:t>7、法定代表人授权书无法定代表人签字或没有加盖公章的；</w:t>
      </w:r>
    </w:p>
    <w:p>
      <w:pPr>
        <w:pStyle w:val="31"/>
        <w:spacing w:line="360" w:lineRule="auto"/>
        <w:ind w:firstLine="476" w:firstLineChars="225"/>
        <w:rPr>
          <w:rFonts w:ascii="宋体" w:hAnsi="宋体" w:cs="宋体"/>
          <w:spacing w:val="-20"/>
          <w:sz w:val="21"/>
          <w:szCs w:val="21"/>
          <w:highlight w:val="none"/>
        </w:rPr>
      </w:pPr>
      <w:r>
        <w:rPr>
          <w:rFonts w:hint="eastAsia" w:ascii="宋体" w:hAnsi="宋体" w:cs="宋体"/>
          <w:sz w:val="21"/>
          <w:szCs w:val="21"/>
          <w:highlight w:val="none"/>
        </w:rPr>
        <w:t>8、</w:t>
      </w:r>
      <w:r>
        <w:rPr>
          <w:rFonts w:hint="eastAsia" w:ascii="宋体" w:hAnsi="宋体" w:cs="宋体"/>
          <w:bCs/>
          <w:sz w:val="21"/>
          <w:szCs w:val="21"/>
          <w:highlight w:val="none"/>
        </w:rPr>
        <w:t>参加政府采购活动前三年内（即提交竞争性磋商首次响应文件截止时间前三年内）有重大违法失信记录的；</w:t>
      </w:r>
    </w:p>
    <w:p>
      <w:pPr>
        <w:pStyle w:val="31"/>
        <w:spacing w:line="360" w:lineRule="auto"/>
        <w:ind w:firstLine="476" w:firstLineChars="225"/>
        <w:rPr>
          <w:rFonts w:ascii="宋体" w:hAnsi="宋体" w:cs="宋体"/>
          <w:spacing w:val="-20"/>
          <w:sz w:val="21"/>
          <w:szCs w:val="21"/>
          <w:highlight w:val="none"/>
        </w:rPr>
      </w:pPr>
      <w:r>
        <w:rPr>
          <w:rFonts w:hint="eastAsia" w:ascii="宋体" w:hAnsi="宋体" w:cs="宋体"/>
          <w:sz w:val="21"/>
          <w:szCs w:val="21"/>
          <w:highlight w:val="none"/>
        </w:rPr>
        <w:t>9、</w:t>
      </w:r>
      <w:r>
        <w:rPr>
          <w:rFonts w:hint="eastAsia" w:ascii="宋体" w:hAnsi="宋体" w:cs="宋体"/>
          <w:spacing w:val="-2"/>
          <w:sz w:val="21"/>
          <w:szCs w:val="21"/>
          <w:highlight w:val="none"/>
        </w:rPr>
        <w:t>供应商</w:t>
      </w:r>
      <w:r>
        <w:rPr>
          <w:rFonts w:hint="eastAsia" w:ascii="宋体" w:hAnsi="宋体" w:cs="宋体"/>
          <w:sz w:val="21"/>
          <w:szCs w:val="21"/>
          <w:highlight w:val="none"/>
        </w:rPr>
        <w:t>对采购人、采购代理机构、磋商小组及其工作人员施加影响，有碍评审公平、公正的；</w:t>
      </w:r>
    </w:p>
    <w:p>
      <w:pPr>
        <w:pStyle w:val="31"/>
        <w:spacing w:line="360" w:lineRule="auto"/>
        <w:ind w:firstLine="476" w:firstLineChars="225"/>
        <w:rPr>
          <w:rFonts w:ascii="宋体" w:hAnsi="宋体" w:cs="宋体"/>
          <w:sz w:val="21"/>
          <w:szCs w:val="21"/>
          <w:highlight w:val="none"/>
        </w:rPr>
      </w:pPr>
      <w:r>
        <w:rPr>
          <w:rFonts w:hint="eastAsia" w:ascii="宋体" w:hAnsi="宋体" w:cs="宋体"/>
          <w:bCs/>
          <w:color w:val="000000"/>
          <w:sz w:val="21"/>
          <w:szCs w:val="21"/>
          <w:highlight w:val="none"/>
          <w:lang w:val="zh-CN"/>
        </w:rPr>
        <w:t>1</w:t>
      </w:r>
      <w:r>
        <w:rPr>
          <w:rFonts w:hint="eastAsia" w:ascii="宋体" w:hAnsi="宋体" w:cs="宋体"/>
          <w:bCs/>
          <w:color w:val="000000"/>
          <w:sz w:val="21"/>
          <w:szCs w:val="21"/>
          <w:highlight w:val="none"/>
        </w:rPr>
        <w:t>0</w:t>
      </w:r>
      <w:r>
        <w:rPr>
          <w:rFonts w:hint="eastAsia" w:ascii="宋体" w:hAnsi="宋体" w:cs="宋体"/>
          <w:bCs/>
          <w:color w:val="000000"/>
          <w:sz w:val="21"/>
          <w:szCs w:val="21"/>
          <w:highlight w:val="none"/>
          <w:lang w:val="zh-CN"/>
        </w:rPr>
        <w:t>、</w:t>
      </w:r>
      <w:r>
        <w:rPr>
          <w:rFonts w:hint="eastAsia" w:ascii="宋体" w:hAnsi="宋体" w:cs="宋体"/>
          <w:sz w:val="21"/>
          <w:szCs w:val="21"/>
          <w:highlight w:val="none"/>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4" w:firstLineChars="200"/>
        <w:rPr>
          <w:rFonts w:ascii="宋体" w:hAnsi="宋体" w:eastAsia="宋体" w:cs="宋体"/>
          <w:szCs w:val="21"/>
          <w:highlight w:val="none"/>
        </w:rPr>
      </w:pPr>
      <w:r>
        <w:rPr>
          <w:rFonts w:hint="eastAsia" w:ascii="宋体" w:hAnsi="宋体" w:eastAsia="宋体" w:cs="宋体"/>
          <w:szCs w:val="21"/>
          <w:highlight w:val="none"/>
        </w:rPr>
        <w:t>11、供应商提供的企业资质证书、从业人员资格证书、认证证书等信息必须与公开信息一致，在公开信息中查询不到或不一致的，供应商应在响应文件中提供发证机构出具的证明函，未提供证明函的响应文件无效。</w:t>
      </w:r>
    </w:p>
    <w:p>
      <w:pPr>
        <w:spacing w:line="360" w:lineRule="auto"/>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12、按有关法律、法规、规章规定属于响应文件无效的。</w:t>
      </w:r>
    </w:p>
    <w:p>
      <w:pPr>
        <w:spacing w:line="360" w:lineRule="auto"/>
        <w:ind w:firstLine="424"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13、</w:t>
      </w:r>
      <w:r>
        <w:rPr>
          <w:rFonts w:hint="eastAsia" w:ascii="宋体" w:hAnsi="宋体" w:eastAsia="宋体" w:cs="宋体"/>
          <w:szCs w:val="21"/>
          <w:highlight w:val="none"/>
          <w:lang w:val="zh-CN"/>
        </w:rPr>
        <w:t>磋商小组在评审过程中，应以供应商提供的响应文件为评审依据，不得接受响应文件以外的任何形式的文件资料。</w:t>
      </w:r>
    </w:p>
    <w:p>
      <w:pPr>
        <w:spacing w:line="360" w:lineRule="auto"/>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14、未按要求携带样品的供应商。</w:t>
      </w:r>
    </w:p>
    <w:p>
      <w:pPr>
        <w:spacing w:line="360" w:lineRule="auto"/>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15、磋商文件中规定的其他情况。</w:t>
      </w:r>
    </w:p>
    <w:p>
      <w:pPr>
        <w:spacing w:line="360" w:lineRule="auto"/>
        <w:rPr>
          <w:rFonts w:ascii="宋体" w:hAnsi="宋体"/>
          <w:b/>
          <w:bCs/>
          <w:sz w:val="24"/>
          <w:highlight w:val="none"/>
        </w:rPr>
      </w:pPr>
      <w:r>
        <w:rPr>
          <w:rFonts w:hint="eastAsia" w:ascii="宋体" w:hAnsi="宋体"/>
          <w:b/>
          <w:bCs/>
          <w:sz w:val="24"/>
          <w:highlight w:val="none"/>
        </w:rPr>
        <w:t>十</w:t>
      </w:r>
      <w:r>
        <w:rPr>
          <w:rFonts w:hint="eastAsia" w:ascii="宋体" w:hAnsi="宋体"/>
          <w:b/>
          <w:bCs/>
          <w:sz w:val="24"/>
          <w:highlight w:val="none"/>
          <w:lang w:eastAsia="zh-CN"/>
        </w:rPr>
        <w:t>五</w:t>
      </w:r>
      <w:r>
        <w:rPr>
          <w:rFonts w:hint="eastAsia" w:ascii="宋体" w:hAnsi="宋体"/>
          <w:b/>
          <w:bCs/>
          <w:sz w:val="24"/>
          <w:highlight w:val="none"/>
        </w:rPr>
        <w:t>、供应商禁止行为</w:t>
      </w:r>
    </w:p>
    <w:p>
      <w:pPr>
        <w:spacing w:line="360" w:lineRule="auto"/>
        <w:ind w:left="420"/>
        <w:rPr>
          <w:rFonts w:ascii="宋体" w:hAnsi="宋体" w:eastAsia="宋体" w:cs="宋体"/>
          <w:szCs w:val="21"/>
          <w:highlight w:val="none"/>
        </w:rPr>
      </w:pPr>
      <w:r>
        <w:rPr>
          <w:rFonts w:hint="eastAsia" w:ascii="宋体" w:hAnsi="宋体" w:eastAsia="宋体" w:cs="宋体"/>
          <w:szCs w:val="21"/>
          <w:highlight w:val="none"/>
        </w:rPr>
        <w:t>（1）供应商在提交响应文件截止时间后撤回响应文件；</w:t>
      </w:r>
    </w:p>
    <w:p>
      <w:pPr>
        <w:spacing w:line="360" w:lineRule="auto"/>
        <w:ind w:left="420"/>
        <w:rPr>
          <w:rFonts w:ascii="宋体" w:hAnsi="宋体" w:eastAsia="宋体" w:cs="宋体"/>
          <w:szCs w:val="21"/>
          <w:highlight w:val="none"/>
        </w:rPr>
      </w:pPr>
      <w:r>
        <w:rPr>
          <w:rFonts w:hint="eastAsia" w:ascii="宋体" w:hAnsi="宋体" w:eastAsia="宋体" w:cs="宋体"/>
          <w:szCs w:val="21"/>
          <w:highlight w:val="none"/>
        </w:rPr>
        <w:t>（2）成交人在评审结果产生后放弃成交；</w:t>
      </w:r>
    </w:p>
    <w:p>
      <w:pPr>
        <w:spacing w:line="360" w:lineRule="auto"/>
        <w:ind w:left="420"/>
        <w:rPr>
          <w:rFonts w:ascii="宋体" w:hAnsi="宋体" w:eastAsia="宋体" w:cs="宋体"/>
          <w:color w:val="FF6600"/>
          <w:szCs w:val="21"/>
          <w:highlight w:val="none"/>
        </w:rPr>
      </w:pPr>
      <w:r>
        <w:rPr>
          <w:rFonts w:hint="eastAsia" w:ascii="宋体" w:hAnsi="宋体" w:eastAsia="宋体" w:cs="宋体"/>
          <w:szCs w:val="21"/>
          <w:highlight w:val="none"/>
        </w:rPr>
        <w:t>（3）成交人在规定的时限内不签订采购合同。</w:t>
      </w:r>
    </w:p>
    <w:p>
      <w:pPr>
        <w:snapToGrid w:val="0"/>
        <w:spacing w:line="360" w:lineRule="auto"/>
        <w:rPr>
          <w:b/>
          <w:spacing w:val="-2"/>
          <w:sz w:val="24"/>
          <w:highlight w:val="none"/>
        </w:rPr>
      </w:pPr>
      <w:r>
        <w:rPr>
          <w:rFonts w:hint="eastAsia" w:ascii="宋体" w:hAnsi="宋体"/>
          <w:b/>
          <w:bCs/>
          <w:sz w:val="24"/>
          <w:highlight w:val="none"/>
        </w:rPr>
        <w:t>十</w:t>
      </w:r>
      <w:r>
        <w:rPr>
          <w:rFonts w:hint="eastAsia" w:ascii="宋体" w:hAnsi="宋体"/>
          <w:b/>
          <w:bCs/>
          <w:sz w:val="24"/>
          <w:highlight w:val="none"/>
          <w:lang w:eastAsia="zh-CN"/>
        </w:rPr>
        <w:t>六</w:t>
      </w:r>
      <w:r>
        <w:rPr>
          <w:rFonts w:hint="eastAsia" w:ascii="宋体" w:hAnsi="宋体"/>
          <w:b/>
          <w:bCs/>
          <w:sz w:val="24"/>
          <w:highlight w:val="none"/>
        </w:rPr>
        <w:t>、</w:t>
      </w:r>
      <w:r>
        <w:rPr>
          <w:rFonts w:hint="eastAsia"/>
          <w:b/>
          <w:spacing w:val="-2"/>
          <w:sz w:val="24"/>
          <w:highlight w:val="none"/>
        </w:rPr>
        <w:t>磋商保证金</w:t>
      </w:r>
    </w:p>
    <w:p>
      <w:pPr>
        <w:spacing w:line="360" w:lineRule="auto"/>
        <w:ind w:firstLine="424" w:firstLineChars="200"/>
        <w:rPr>
          <w:rFonts w:hint="eastAsia" w:ascii="宋体" w:hAnsi="宋体" w:eastAsia="宋体" w:cs="微软雅黑"/>
          <w:szCs w:val="21"/>
          <w:highlight w:val="none"/>
          <w:lang w:eastAsia="zh-CN"/>
        </w:rPr>
      </w:pPr>
      <w:r>
        <w:rPr>
          <w:rFonts w:hint="eastAsia" w:ascii="宋体" w:hAnsi="宋体" w:eastAsia="宋体" w:cs="微软雅黑"/>
          <w:szCs w:val="21"/>
          <w:highlight w:val="none"/>
        </w:rPr>
        <w:t>1.户名：</w:t>
      </w:r>
      <w:r>
        <w:rPr>
          <w:rFonts w:hint="eastAsia" w:ascii="宋体" w:hAnsi="宋体" w:eastAsia="宋体" w:cs="微软雅黑"/>
          <w:szCs w:val="21"/>
          <w:highlight w:val="none"/>
          <w:lang w:eastAsia="zh-CN"/>
        </w:rPr>
        <w:t xml:space="preserve">正信伟业工程咨询管理有限公司 </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2.账号：7451110182600027374</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 xml:space="preserve">3.开户银行：中信银行哈尔滨分行营业部 </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4.磋商保证金的形式：银行汇款</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5.磋商保证金的金额：</w:t>
      </w:r>
      <w:r>
        <w:rPr>
          <w:rFonts w:hint="eastAsia" w:ascii="宋体" w:hAnsi="宋体" w:eastAsia="宋体" w:cs="微软雅黑"/>
          <w:szCs w:val="21"/>
          <w:highlight w:val="none"/>
          <w:lang w:val="en-US" w:eastAsia="zh-CN"/>
        </w:rPr>
        <w:t>28000</w:t>
      </w:r>
      <w:r>
        <w:rPr>
          <w:rFonts w:hint="eastAsia" w:ascii="宋体" w:hAnsi="宋体" w:eastAsia="宋体" w:cs="微软雅黑"/>
          <w:szCs w:val="21"/>
          <w:highlight w:val="none"/>
        </w:rPr>
        <w:t>.00元</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6.磋商保证金的递交方式：从供应商企业基本账户进行转账的形式交纳。</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7.磋商保证金交纳的时间及地点：</w:t>
      </w:r>
      <w:r>
        <w:rPr>
          <w:rStyle w:val="30"/>
          <w:rFonts w:hint="eastAsia" w:ascii="宋体" w:hAnsi="宋体" w:eastAsia="宋体" w:cs="宋体"/>
          <w:b w:val="0"/>
          <w:bCs/>
          <w:sz w:val="21"/>
          <w:szCs w:val="21"/>
          <w:highlight w:val="none"/>
          <w:lang w:val="en-US" w:eastAsia="zh-CN"/>
        </w:rPr>
        <w:t>2020</w:t>
      </w:r>
      <w:r>
        <w:rPr>
          <w:rStyle w:val="30"/>
          <w:rFonts w:hint="eastAsia" w:ascii="宋体" w:hAnsi="宋体" w:eastAsia="宋体" w:cs="宋体"/>
          <w:b w:val="0"/>
          <w:bCs/>
          <w:sz w:val="21"/>
          <w:szCs w:val="21"/>
          <w:highlight w:val="none"/>
        </w:rPr>
        <w:t>年06月</w:t>
      </w:r>
      <w:r>
        <w:rPr>
          <w:rStyle w:val="30"/>
          <w:rFonts w:hint="eastAsia" w:ascii="宋体" w:hAnsi="宋体" w:eastAsia="宋体" w:cs="宋体"/>
          <w:b w:val="0"/>
          <w:bCs/>
          <w:sz w:val="21"/>
          <w:szCs w:val="21"/>
          <w:highlight w:val="none"/>
          <w:lang w:val="en-US" w:eastAsia="zh-CN"/>
        </w:rPr>
        <w:t>17</w:t>
      </w:r>
      <w:r>
        <w:rPr>
          <w:rStyle w:val="30"/>
          <w:rFonts w:hint="eastAsia" w:ascii="宋体" w:hAnsi="宋体" w:eastAsia="宋体" w:cs="宋体"/>
          <w:b w:val="0"/>
          <w:bCs/>
          <w:sz w:val="21"/>
          <w:szCs w:val="21"/>
          <w:highlight w:val="none"/>
        </w:rPr>
        <w:t>日</w:t>
      </w:r>
      <w:r>
        <w:rPr>
          <w:rStyle w:val="30"/>
          <w:rFonts w:hint="eastAsia" w:ascii="宋体" w:hAnsi="宋体" w:eastAsia="宋体" w:cs="宋体"/>
          <w:b w:val="0"/>
          <w:bCs/>
          <w:sz w:val="21"/>
          <w:szCs w:val="21"/>
          <w:highlight w:val="none"/>
          <w:lang w:val="en-US" w:eastAsia="zh-CN"/>
        </w:rPr>
        <w:t>14</w:t>
      </w:r>
      <w:r>
        <w:rPr>
          <w:rStyle w:val="30"/>
          <w:rFonts w:hint="eastAsia" w:ascii="宋体" w:hAnsi="宋体" w:eastAsia="宋体" w:cs="宋体"/>
          <w:b w:val="0"/>
          <w:bCs/>
          <w:sz w:val="21"/>
          <w:szCs w:val="21"/>
          <w:highlight w:val="none"/>
        </w:rPr>
        <w:t>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rPr>
        <w:t>分</w:t>
      </w:r>
      <w:r>
        <w:rPr>
          <w:rFonts w:hint="eastAsia" w:ascii="宋体" w:hAnsi="宋体" w:eastAsia="宋体" w:cs="微软雅黑"/>
          <w:szCs w:val="21"/>
          <w:highlight w:val="none"/>
        </w:rPr>
        <w:t>前。</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注：1、供应商必须从企业工商注册所在地基本账户汇款至</w:t>
      </w:r>
      <w:r>
        <w:rPr>
          <w:rFonts w:hint="eastAsia" w:ascii="宋体" w:hAnsi="宋体" w:eastAsia="宋体" w:cs="微软雅黑"/>
          <w:szCs w:val="21"/>
          <w:highlight w:val="none"/>
          <w:lang w:eastAsia="zh-CN"/>
        </w:rPr>
        <w:t xml:space="preserve">正信伟业工程咨询管理有限公司 </w:t>
      </w:r>
      <w:r>
        <w:rPr>
          <w:rFonts w:hint="eastAsia" w:ascii="宋体" w:hAnsi="宋体" w:eastAsia="宋体" w:cs="微软雅黑"/>
          <w:szCs w:val="21"/>
          <w:highlight w:val="none"/>
        </w:rPr>
        <w:t>账户(磋商文件中指定的账户)，且磋商保证金的付款单位与供应商的名称必须一致。2、汇款时必须注明工程“</w:t>
      </w:r>
      <w:r>
        <w:rPr>
          <w:rFonts w:hint="eastAsia" w:ascii="宋体" w:hAnsi="宋体" w:eastAsia="宋体" w:cs="微软雅黑"/>
          <w:szCs w:val="21"/>
          <w:highlight w:val="none"/>
          <w:lang w:eastAsia="zh-CN"/>
        </w:rPr>
        <w:t>工程大学新生被品采购</w:t>
      </w:r>
      <w:r>
        <w:rPr>
          <w:rFonts w:hint="eastAsia" w:ascii="宋体" w:hAnsi="宋体" w:eastAsia="宋体" w:cs="微软雅黑"/>
          <w:szCs w:val="21"/>
          <w:highlight w:val="none"/>
        </w:rPr>
        <w:t>磋商保证金”字样，如未按要求注明将视为没有缴纳，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w:t>
      </w:r>
      <w:r>
        <w:rPr>
          <w:rFonts w:hint="eastAsia" w:ascii="宋体" w:hAnsi="宋体" w:eastAsia="宋体" w:cs="微软雅黑"/>
          <w:szCs w:val="21"/>
          <w:highlight w:val="none"/>
          <w:lang w:eastAsia="zh-CN"/>
        </w:rPr>
        <w:t>工程大学新生被品采购磋商保证金</w:t>
      </w:r>
      <w:r>
        <w:rPr>
          <w:rFonts w:hint="eastAsia" w:ascii="宋体" w:hAnsi="宋体" w:eastAsia="宋体" w:cs="微软雅黑"/>
          <w:szCs w:val="21"/>
          <w:highlight w:val="none"/>
        </w:rPr>
        <w:t>”。</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以电汇的形式于</w:t>
      </w:r>
      <w:r>
        <w:rPr>
          <w:rStyle w:val="30"/>
          <w:rFonts w:hint="eastAsia" w:ascii="宋体" w:hAnsi="宋体" w:eastAsia="宋体" w:cs="宋体"/>
          <w:b w:val="0"/>
          <w:bCs/>
          <w:sz w:val="21"/>
          <w:szCs w:val="21"/>
          <w:highlight w:val="none"/>
          <w:lang w:val="en-US" w:eastAsia="zh-CN"/>
        </w:rPr>
        <w:t>2020</w:t>
      </w:r>
      <w:r>
        <w:rPr>
          <w:rStyle w:val="30"/>
          <w:rFonts w:hint="eastAsia" w:ascii="宋体" w:hAnsi="宋体" w:eastAsia="宋体" w:cs="宋体"/>
          <w:b w:val="0"/>
          <w:bCs/>
          <w:sz w:val="21"/>
          <w:szCs w:val="21"/>
          <w:highlight w:val="none"/>
        </w:rPr>
        <w:t>年06月</w:t>
      </w:r>
      <w:r>
        <w:rPr>
          <w:rStyle w:val="30"/>
          <w:rFonts w:hint="eastAsia" w:ascii="宋体" w:hAnsi="宋体" w:eastAsia="宋体" w:cs="宋体"/>
          <w:b w:val="0"/>
          <w:bCs/>
          <w:sz w:val="21"/>
          <w:szCs w:val="21"/>
          <w:highlight w:val="none"/>
          <w:lang w:val="en-US" w:eastAsia="zh-CN"/>
        </w:rPr>
        <w:t>17</w:t>
      </w:r>
      <w:r>
        <w:rPr>
          <w:rStyle w:val="30"/>
          <w:rFonts w:hint="eastAsia" w:ascii="宋体" w:hAnsi="宋体" w:eastAsia="宋体" w:cs="宋体"/>
          <w:b w:val="0"/>
          <w:bCs/>
          <w:sz w:val="21"/>
          <w:szCs w:val="21"/>
          <w:highlight w:val="none"/>
        </w:rPr>
        <w:t>日</w:t>
      </w:r>
      <w:r>
        <w:rPr>
          <w:rStyle w:val="30"/>
          <w:rFonts w:hint="eastAsia" w:ascii="宋体" w:hAnsi="宋体" w:eastAsia="宋体" w:cs="宋体"/>
          <w:b w:val="0"/>
          <w:bCs/>
          <w:sz w:val="21"/>
          <w:szCs w:val="21"/>
          <w:highlight w:val="none"/>
          <w:lang w:val="en-US" w:eastAsia="zh-CN"/>
        </w:rPr>
        <w:t>14</w:t>
      </w:r>
      <w:r>
        <w:rPr>
          <w:rStyle w:val="30"/>
          <w:rFonts w:hint="eastAsia" w:ascii="宋体" w:hAnsi="宋体" w:eastAsia="宋体" w:cs="宋体"/>
          <w:b w:val="0"/>
          <w:bCs/>
          <w:sz w:val="21"/>
          <w:szCs w:val="21"/>
          <w:highlight w:val="none"/>
        </w:rPr>
        <w:t>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rPr>
        <w:t>分</w:t>
      </w:r>
      <w:r>
        <w:rPr>
          <w:rFonts w:hint="eastAsia" w:ascii="宋体" w:hAnsi="宋体" w:eastAsia="宋体" w:cs="微软雅黑"/>
          <w:szCs w:val="21"/>
          <w:highlight w:val="none"/>
        </w:rPr>
        <w:t>前电汇至</w:t>
      </w:r>
      <w:r>
        <w:rPr>
          <w:rFonts w:hint="eastAsia" w:ascii="宋体" w:hAnsi="宋体" w:eastAsia="宋体" w:cs="微软雅黑"/>
          <w:szCs w:val="21"/>
          <w:highlight w:val="none"/>
          <w:lang w:eastAsia="zh-CN"/>
        </w:rPr>
        <w:t>正信伟业工程咨询管理有限公司</w:t>
      </w:r>
      <w:r>
        <w:rPr>
          <w:rFonts w:hint="eastAsia" w:ascii="宋体" w:hAnsi="宋体" w:eastAsia="宋体" w:cs="微软雅黑"/>
          <w:szCs w:val="21"/>
          <w:highlight w:val="none"/>
        </w:rPr>
        <w:t>财务室，注明项目名称、项目编号和所投包号。有以下情形的汇款，拒收并回退原账户：</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（1）未注明项目名称、项目编号和所投包号或注明错误的；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（2）以个人名义汇至</w:t>
      </w:r>
      <w:r>
        <w:rPr>
          <w:rFonts w:hint="eastAsia" w:ascii="宋体" w:hAnsi="宋体" w:eastAsia="宋体" w:cs="微软雅黑"/>
          <w:szCs w:val="21"/>
          <w:highlight w:val="none"/>
          <w:lang w:eastAsia="zh-CN"/>
        </w:rPr>
        <w:t>正信伟业工程咨询管理有限公司</w:t>
      </w:r>
      <w:r>
        <w:rPr>
          <w:rFonts w:hint="eastAsia" w:ascii="宋体" w:hAnsi="宋体" w:eastAsia="宋体" w:cs="微软雅黑"/>
          <w:szCs w:val="21"/>
          <w:highlight w:val="none"/>
        </w:rPr>
        <w:t>账户的；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（3）汇款人账户名称、账号与供应商开户许可证名称、账号不一致的。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8.任何未按要求提交磋商保证金、投标保函的供应商，代理机构将视其为非实质性响应而予以拒绝。</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9.磋商保证金的清退</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（1）如无质疑或投诉，未成交的磋商供应商的磋商保证金于成交通知书发出后</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w:t>
      </w:r>
      <w:r>
        <w:rPr>
          <w:rFonts w:hint="eastAsia" w:ascii="宋体" w:hAnsi="宋体" w:eastAsia="宋体" w:cs="微软雅黑"/>
          <w:szCs w:val="21"/>
          <w:highlight w:val="none"/>
        </w:rPr>
        <w:t>内予以退还；</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成交供应商的磋商保证金将按照有关规定，在采购单位与成交供应商签订合同后</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w:t>
      </w:r>
      <w:r>
        <w:rPr>
          <w:rFonts w:hint="eastAsia" w:ascii="宋体" w:hAnsi="宋体" w:eastAsia="宋体" w:cs="微软雅黑"/>
          <w:szCs w:val="21"/>
          <w:highlight w:val="none"/>
        </w:rPr>
        <w:t>内予以退还。</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（2）如有质疑或投诉，将在质疑或投诉处理完毕后五个工作日内为未成交供应商办理保证金清退手续；</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（3）磋商保证金清退时，</w:t>
      </w:r>
      <w:r>
        <w:rPr>
          <w:rFonts w:hint="eastAsia" w:ascii="宋体" w:hAnsi="宋体" w:eastAsia="宋体" w:cs="微软雅黑"/>
          <w:szCs w:val="21"/>
          <w:highlight w:val="none"/>
          <w:lang w:eastAsia="zh-CN"/>
        </w:rPr>
        <w:t>正信伟业工程咨询管理有限公司</w:t>
      </w:r>
      <w:r>
        <w:rPr>
          <w:rFonts w:hint="eastAsia" w:ascii="宋体" w:hAnsi="宋体" w:eastAsia="宋体" w:cs="微软雅黑"/>
          <w:szCs w:val="21"/>
          <w:highlight w:val="none"/>
        </w:rPr>
        <w:t>将按原汇款账号退回，</w:t>
      </w:r>
      <w:r>
        <w:rPr>
          <w:rFonts w:hint="eastAsia" w:ascii="宋体" w:hAnsi="宋体" w:eastAsia="宋体" w:cs="微软雅黑"/>
          <w:szCs w:val="21"/>
          <w:highlight w:val="none"/>
          <w:lang w:eastAsia="zh-CN"/>
        </w:rPr>
        <w:t xml:space="preserve">正信伟业工程咨询管理有限公司 </w:t>
      </w:r>
      <w:r>
        <w:rPr>
          <w:rFonts w:hint="eastAsia" w:ascii="宋体" w:hAnsi="宋体" w:eastAsia="宋体" w:cs="微软雅黑"/>
          <w:szCs w:val="21"/>
          <w:highlight w:val="none"/>
        </w:rPr>
        <w:t>不受理以任何理由将磋商保证金退至其他账户的业务；</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lang w:val="en-US" w:eastAsia="zh-CN"/>
        </w:rPr>
        <w:t>10</w:t>
      </w:r>
      <w:r>
        <w:rPr>
          <w:rFonts w:hint="eastAsia" w:ascii="宋体" w:hAnsi="宋体" w:eastAsia="宋体" w:cs="微软雅黑"/>
          <w:szCs w:val="21"/>
          <w:highlight w:val="none"/>
        </w:rPr>
        <w:t>.有下列情形之一的，供应商的磋商保证金将被依法没收：</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(1)在提交响应文件截止时间后撤回响应文件的；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(2)在响应文件中提供虚假材料的；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(3)成交后无正当理由放弃成交或在规定期限内不与采购人签订合同的；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(4)与采购人、其他供应商或者采购代理机构恶意串通的；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rPr>
        <w:t>(5)被认定为虚假和恶意质疑的。</w:t>
      </w:r>
    </w:p>
    <w:p>
      <w:pPr>
        <w:spacing w:line="360" w:lineRule="auto"/>
        <w:ind w:firstLine="424" w:firstLineChars="200"/>
        <w:rPr>
          <w:rFonts w:ascii="宋体" w:hAnsi="宋体" w:eastAsia="宋体" w:cs="微软雅黑"/>
          <w:szCs w:val="21"/>
          <w:highlight w:val="none"/>
        </w:rPr>
      </w:pPr>
      <w:r>
        <w:rPr>
          <w:rFonts w:hint="eastAsia" w:ascii="宋体" w:hAnsi="宋体" w:eastAsia="宋体" w:cs="微软雅黑"/>
          <w:szCs w:val="21"/>
          <w:highlight w:val="none"/>
          <w:lang w:val="en-US" w:eastAsia="zh-CN"/>
        </w:rPr>
        <w:t>11</w:t>
      </w:r>
      <w:r>
        <w:rPr>
          <w:rFonts w:hint="eastAsia" w:ascii="宋体" w:hAnsi="宋体" w:eastAsia="宋体" w:cs="微软雅黑"/>
          <w:szCs w:val="21"/>
          <w:highlight w:val="none"/>
        </w:rPr>
        <w:t>.对磋商保证金的咨询请与代理机构招标七组联系：</w:t>
      </w:r>
    </w:p>
    <w:p>
      <w:pPr>
        <w:spacing w:line="360" w:lineRule="auto"/>
        <w:ind w:firstLine="424" w:firstLineChars="200"/>
        <w:rPr>
          <w:rFonts w:hint="eastAsia" w:ascii="宋体" w:hAnsi="宋体" w:eastAsia="宋体" w:cs="微软雅黑"/>
          <w:szCs w:val="21"/>
          <w:highlight w:val="none"/>
        </w:rPr>
      </w:pPr>
      <w:r>
        <w:rPr>
          <w:rFonts w:hint="eastAsia" w:ascii="宋体" w:hAnsi="宋体" w:eastAsia="宋体" w:cs="微软雅黑"/>
          <w:szCs w:val="21"/>
          <w:highlight w:val="none"/>
        </w:rPr>
        <w:t>联系电话： 0451-82362805-80</w:t>
      </w:r>
      <w:r>
        <w:rPr>
          <w:rFonts w:hint="eastAsia" w:ascii="宋体" w:hAnsi="宋体" w:eastAsia="宋体" w:cs="微软雅黑"/>
          <w:szCs w:val="21"/>
          <w:highlight w:val="none"/>
          <w:lang w:val="en-US" w:eastAsia="zh-CN"/>
        </w:rPr>
        <w:t>89</w:t>
      </w:r>
      <w:r>
        <w:rPr>
          <w:rFonts w:hint="eastAsia" w:ascii="宋体" w:hAnsi="宋体" w:eastAsia="宋体" w:cs="微软雅黑"/>
          <w:szCs w:val="21"/>
          <w:highlight w:val="none"/>
        </w:rPr>
        <w:t>；联系人：</w:t>
      </w:r>
      <w:r>
        <w:rPr>
          <w:rFonts w:hint="eastAsia" w:ascii="宋体" w:hAnsi="宋体" w:eastAsia="宋体" w:cs="微软雅黑"/>
          <w:szCs w:val="21"/>
          <w:highlight w:val="none"/>
          <w:lang w:eastAsia="zh-CN"/>
        </w:rPr>
        <w:t>许女士</w:t>
      </w:r>
      <w:r>
        <w:rPr>
          <w:rFonts w:hint="eastAsia" w:ascii="宋体" w:hAnsi="宋体" w:eastAsia="宋体" w:cs="微软雅黑"/>
          <w:szCs w:val="21"/>
          <w:highlight w:val="none"/>
        </w:rPr>
        <w:t>；</w:t>
      </w:r>
    </w:p>
    <w:p>
      <w:pPr>
        <w:pStyle w:val="2"/>
      </w:pPr>
    </w:p>
    <w:p>
      <w:pPr>
        <w:snapToGrid w:val="0"/>
        <w:spacing w:line="360" w:lineRule="auto"/>
        <w:jc w:val="center"/>
        <w:rPr>
          <w:rFonts w:ascii="黑体" w:hAnsi="宋体" w:eastAsia="黑体"/>
          <w:b/>
          <w:bCs/>
          <w:sz w:val="28"/>
          <w:szCs w:val="28"/>
          <w:highlight w:val="none"/>
        </w:rPr>
      </w:pPr>
      <w:r>
        <w:rPr>
          <w:rFonts w:hint="eastAsia" w:ascii="黑体" w:hAnsi="宋体" w:eastAsia="黑体"/>
          <w:b/>
          <w:bCs/>
          <w:sz w:val="28"/>
          <w:szCs w:val="28"/>
          <w:highlight w:val="none"/>
        </w:rPr>
        <w:t>D  磋商及评审方法</w:t>
      </w:r>
    </w:p>
    <w:p>
      <w:pPr>
        <w:snapToGrid w:val="0"/>
        <w:spacing w:line="360" w:lineRule="auto"/>
        <w:ind w:firstLine="510"/>
        <w:jc w:val="center"/>
        <w:rPr>
          <w:rFonts w:ascii="黑体" w:hAnsi="宋体" w:eastAsia="黑体"/>
          <w:spacing w:val="-10"/>
          <w:sz w:val="24"/>
          <w:highlight w:val="none"/>
        </w:rPr>
      </w:pPr>
    </w:p>
    <w:p>
      <w:pPr>
        <w:snapToGrid w:val="0"/>
        <w:spacing w:line="360" w:lineRule="auto"/>
        <w:rPr>
          <w:rFonts w:ascii="宋体" w:hAnsi="宋体"/>
          <w:b/>
          <w:bCs/>
          <w:spacing w:val="-10"/>
          <w:sz w:val="24"/>
          <w:highlight w:val="none"/>
        </w:rPr>
      </w:pPr>
      <w:r>
        <w:rPr>
          <w:rFonts w:hint="eastAsia" w:ascii="宋体" w:hAnsi="宋体"/>
          <w:b/>
          <w:bCs/>
          <w:spacing w:val="-10"/>
          <w:sz w:val="24"/>
          <w:highlight w:val="none"/>
        </w:rPr>
        <w:t>十</w:t>
      </w:r>
      <w:r>
        <w:rPr>
          <w:rFonts w:hint="eastAsia" w:ascii="宋体" w:hAnsi="宋体"/>
          <w:b/>
          <w:bCs/>
          <w:spacing w:val="-10"/>
          <w:sz w:val="24"/>
          <w:highlight w:val="none"/>
          <w:lang w:eastAsia="zh-CN"/>
        </w:rPr>
        <w:t>七</w:t>
      </w:r>
      <w:r>
        <w:rPr>
          <w:rFonts w:hint="eastAsia" w:ascii="宋体" w:hAnsi="宋体"/>
          <w:b/>
          <w:bCs/>
          <w:spacing w:val="-10"/>
          <w:sz w:val="24"/>
          <w:highlight w:val="none"/>
        </w:rPr>
        <w:t>、磋商</w:t>
      </w:r>
    </w:p>
    <w:p>
      <w:pPr>
        <w:spacing w:line="360" w:lineRule="auto"/>
        <w:rPr>
          <w:rFonts w:ascii="宋体" w:hAnsi="宋体" w:eastAsia="宋体" w:cs="宋体"/>
          <w:szCs w:val="21"/>
          <w:highlight w:val="none"/>
        </w:rPr>
      </w:pPr>
      <w:r>
        <w:rPr>
          <w:rFonts w:hint="eastAsia" w:ascii="宋体" w:hAnsi="宋体" w:eastAsia="宋体" w:cs="宋体"/>
          <w:spacing w:val="-10"/>
          <w:szCs w:val="21"/>
          <w:highlight w:val="none"/>
        </w:rPr>
        <w:t>（一）磋商</w:t>
      </w:r>
      <w:r>
        <w:rPr>
          <w:rFonts w:hint="eastAsia" w:ascii="宋体" w:hAnsi="宋体" w:eastAsia="宋体" w:cs="宋体"/>
          <w:szCs w:val="21"/>
          <w:highlight w:val="none"/>
        </w:rPr>
        <w:t>工作由采购代理机构负责组织，具体评审事务由采购代理机构依法组建的竞争性磋商小组负责；</w:t>
      </w:r>
    </w:p>
    <w:p>
      <w:pPr>
        <w:spacing w:line="360" w:lineRule="auto"/>
        <w:rPr>
          <w:rFonts w:ascii="宋体" w:hAnsi="宋体" w:eastAsia="宋体" w:cs="宋体"/>
          <w:spacing w:val="-10"/>
          <w:szCs w:val="21"/>
          <w:highlight w:val="none"/>
        </w:rPr>
      </w:pPr>
      <w:r>
        <w:rPr>
          <w:rFonts w:hint="eastAsia" w:ascii="宋体" w:hAnsi="宋体" w:eastAsia="宋体" w:cs="宋体"/>
          <w:spacing w:val="-10"/>
          <w:szCs w:val="21"/>
          <w:highlight w:val="none"/>
        </w:rPr>
        <w:t>（二）参加磋商的供应商须按竞争性磋商文件规定的时间和地点提交</w:t>
      </w:r>
      <w:r>
        <w:rPr>
          <w:rFonts w:hint="eastAsia" w:ascii="宋体" w:hAnsi="宋体" w:eastAsia="宋体" w:cs="宋体"/>
          <w:szCs w:val="21"/>
          <w:highlight w:val="none"/>
        </w:rPr>
        <w:t>响应</w:t>
      </w:r>
      <w:r>
        <w:rPr>
          <w:rFonts w:hint="eastAsia" w:ascii="宋体" w:hAnsi="宋体" w:eastAsia="宋体" w:cs="宋体"/>
          <w:spacing w:val="-10"/>
          <w:szCs w:val="21"/>
          <w:highlight w:val="none"/>
        </w:rPr>
        <w:t xml:space="preserve">文件；    </w:t>
      </w:r>
    </w:p>
    <w:p>
      <w:pPr>
        <w:spacing w:line="360" w:lineRule="auto"/>
        <w:rPr>
          <w:rFonts w:ascii="宋体" w:hAnsi="宋体" w:eastAsia="宋体" w:cs="宋体"/>
          <w:szCs w:val="21"/>
          <w:highlight w:val="none"/>
        </w:rPr>
      </w:pPr>
      <w:r>
        <w:rPr>
          <w:rFonts w:hint="eastAsia" w:ascii="宋体" w:hAnsi="宋体" w:eastAsia="宋体" w:cs="宋体"/>
          <w:spacing w:val="-10"/>
          <w:szCs w:val="21"/>
          <w:highlight w:val="none"/>
        </w:rPr>
        <w:t>（三）</w:t>
      </w:r>
      <w:r>
        <w:rPr>
          <w:rFonts w:hint="eastAsia" w:ascii="宋体" w:hAnsi="宋体" w:eastAsia="宋体" w:cs="宋体"/>
          <w:szCs w:val="21"/>
          <w:highlight w:val="none"/>
        </w:rPr>
        <w:t>资格性审查：</w:t>
      </w:r>
    </w:p>
    <w:p>
      <w:pPr>
        <w:spacing w:line="360" w:lineRule="auto"/>
        <w:ind w:firstLine="476" w:firstLineChars="225"/>
        <w:rPr>
          <w:rFonts w:ascii="宋体" w:hAnsi="宋体" w:eastAsia="宋体" w:cs="宋体"/>
          <w:szCs w:val="21"/>
          <w:highlight w:val="none"/>
        </w:rPr>
      </w:pPr>
      <w:r>
        <w:rPr>
          <w:rFonts w:hint="eastAsia" w:ascii="宋体" w:hAnsi="宋体" w:eastAsia="宋体" w:cs="宋体"/>
          <w:szCs w:val="21"/>
          <w:highlight w:val="none"/>
        </w:rPr>
        <w:t>1、报价供应商代表身份确认。磋商小组对报价供应商代表递交报价文件时拍摄的本人及身份证照片与报价文件中报价供应商代表身份证复印件、法人代表授权书进行比对，如确定为同一个人，则报价供应商代表身份合格，否则报价无效；</w:t>
      </w:r>
    </w:p>
    <w:p>
      <w:pPr>
        <w:spacing w:line="360" w:lineRule="auto"/>
        <w:ind w:firstLine="476" w:firstLineChars="225"/>
        <w:rPr>
          <w:rFonts w:hint="eastAsia" w:ascii="宋体" w:hAnsi="宋体" w:eastAsia="宋体" w:cs="宋体"/>
          <w:szCs w:val="21"/>
          <w:highlight w:val="none"/>
        </w:rPr>
      </w:pPr>
      <w:r>
        <w:rPr>
          <w:rFonts w:hint="eastAsia" w:ascii="宋体" w:hAnsi="宋体" w:eastAsia="宋体" w:cs="宋体"/>
          <w:szCs w:val="21"/>
          <w:highlight w:val="none"/>
        </w:rPr>
        <w:t>2、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（六）供应商若有影响磋商结果的任何举动，将导致其最后报价被拒绝；</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（七）在磋商过程中，如采购人对采购需求有变动，磋商小组应当以书面形式通知所有参加磋商的供应商；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（八）磋商结束后，由磋商小组负责确定最终入围供应商。即资格性和符合性检查合格的供应商，作为入围供应商，有资格进行最后报价。该报价将作为磋商小组确定最终成交</w:t>
      </w:r>
      <w:r>
        <w:rPr>
          <w:rFonts w:hint="eastAsia" w:ascii="宋体" w:hAnsi="宋体" w:eastAsia="宋体" w:cs="宋体"/>
          <w:szCs w:val="21"/>
          <w:highlight w:val="none"/>
          <w:lang w:val="en-US" w:eastAsia="zh-CN"/>
        </w:rPr>
        <w:t>候选</w:t>
      </w:r>
      <w:r>
        <w:rPr>
          <w:rFonts w:hint="eastAsia" w:ascii="宋体" w:hAnsi="宋体" w:eastAsia="宋体" w:cs="宋体"/>
          <w:szCs w:val="21"/>
          <w:highlight w:val="none"/>
        </w:rPr>
        <w:t>供应商的价格，提交最后报价的供应商不得少于3家；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（九）入围供应商应在规定时间内做出最后报价，并将报价单在报价截止时间（以开标大厅时间为准）前提交到</w:t>
      </w:r>
      <w:r>
        <w:rPr>
          <w:rFonts w:hint="eastAsia" w:ascii="宋体" w:hAnsi="宋体" w:eastAsia="宋体" w:cs="宋体"/>
          <w:szCs w:val="21"/>
          <w:highlight w:val="none"/>
          <w:lang w:eastAsia="zh-CN"/>
        </w:rPr>
        <w:t xml:space="preserve">正信伟业工程咨询管理有限公司 </w:t>
      </w:r>
      <w:r>
        <w:rPr>
          <w:rFonts w:hint="eastAsia" w:ascii="宋体" w:hAnsi="宋体" w:eastAsia="宋体" w:cs="宋体"/>
          <w:szCs w:val="21"/>
          <w:highlight w:val="none"/>
        </w:rPr>
        <w:t>（哈尔滨市香坊区红旗大街235号投资大厦17层）开标室。在最后报价截止时间后递交的报价将被拒收。如入围供应商未按规定要求和时间提交最后报价，将以该供应商提交的初始报价作为其最后报价。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（十）最后报价在磋商小组规定的截止时间前（以开标大厅时间为准）提交到</w:t>
      </w:r>
      <w:r>
        <w:rPr>
          <w:rFonts w:hint="eastAsia" w:ascii="宋体" w:hAnsi="宋体" w:eastAsia="宋体" w:cs="宋体"/>
          <w:szCs w:val="21"/>
          <w:highlight w:val="none"/>
          <w:lang w:eastAsia="zh-CN"/>
        </w:rPr>
        <w:t>正信伟业工程咨询管理有限公司</w:t>
      </w:r>
      <w:r>
        <w:rPr>
          <w:rFonts w:hint="eastAsia" w:ascii="宋体" w:hAnsi="宋体" w:eastAsia="宋体" w:cs="宋体"/>
          <w:szCs w:val="21"/>
          <w:highlight w:val="none"/>
        </w:rPr>
        <w:t>（哈尔滨市香坊区红旗大街235号投资大厦17层）开标室（有项目名称和项目编号标识)。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ascii="宋体" w:hAnsi="宋体" w:eastAsia="宋体" w:cs="宋体"/>
          <w:szCs w:val="21"/>
          <w:highlight w:val="none"/>
        </w:rPr>
      </w:pPr>
      <w:r>
        <w:rPr>
          <w:rFonts w:hint="eastAsia" w:ascii="宋体" w:hAnsi="宋体" w:eastAsia="宋体" w:cs="宋体"/>
          <w:szCs w:val="21"/>
          <w:highlight w:val="none"/>
        </w:rPr>
        <w:t>（十一）出现下列情形之一的，将以该供应商提交的初始报价作为其最后报价：</w:t>
      </w:r>
    </w:p>
    <w:p>
      <w:pPr>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（1）最后报价未在规定时间提交的；</w:t>
      </w:r>
    </w:p>
    <w:p>
      <w:pPr>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）最后报价未按要求签字的；</w:t>
      </w:r>
    </w:p>
    <w:p>
      <w:pPr>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）最后报价改变了初始报价中材料的品牌、规格和质量等级的。</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（十二）企业信用记录核实</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1、核实内容：磋商小组现场核实供应商</w:t>
      </w:r>
      <w:r>
        <w:rPr>
          <w:rFonts w:hint="eastAsia" w:ascii="宋体" w:hAnsi="宋体" w:eastAsia="宋体" w:cs="宋体"/>
          <w:kern w:val="0"/>
          <w:sz w:val="21"/>
          <w:szCs w:val="21"/>
          <w:highlight w:val="none"/>
          <w:lang w:val="en-US" w:eastAsia="zh-CN"/>
        </w:rPr>
        <w:t>是否被“</w:t>
      </w:r>
      <w:r>
        <w:rPr>
          <w:rFonts w:hint="eastAsia" w:ascii="宋体" w:hAnsi="宋体" w:eastAsia="宋体" w:cs="宋体"/>
          <w:kern w:val="0"/>
          <w:sz w:val="21"/>
          <w:szCs w:val="21"/>
          <w:highlight w:val="none"/>
        </w:rPr>
        <w:t>列入失信被执行人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重大税收违法案件当事人名单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政府采购严重违法失信行为记录名单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2、核实路径：</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（1）“信用中国”（http://www.creditchina.gov.cn）；</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（2）“中国政府采购网”（网址：http://www.ccgp.gov.cn/cr/list）；</w:t>
      </w:r>
    </w:p>
    <w:p>
      <w:pPr>
        <w:spacing w:line="360" w:lineRule="auto"/>
        <w:ind w:firstLine="48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3）“国家企业信用信息公示系统”（http://www.gsxt.gov.cn/index.html）</w:t>
      </w:r>
      <w:r>
        <w:rPr>
          <w:rFonts w:hint="eastAsia" w:ascii="宋体" w:hAnsi="宋体" w:eastAsia="宋体" w:cs="宋体"/>
          <w:kern w:val="0"/>
          <w:sz w:val="21"/>
          <w:szCs w:val="21"/>
          <w:highlight w:val="none"/>
          <w:lang w:eastAsia="zh-CN"/>
        </w:rPr>
        <w:t>；</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ascii="宋体" w:hAnsi="宋体"/>
          <w:b/>
          <w:bCs/>
          <w:sz w:val="24"/>
          <w:highlight w:val="none"/>
        </w:rPr>
      </w:pPr>
      <w:r>
        <w:rPr>
          <w:rFonts w:hint="eastAsia" w:ascii="宋体" w:hAnsi="宋体"/>
          <w:b/>
          <w:bCs/>
          <w:sz w:val="24"/>
          <w:highlight w:val="none"/>
        </w:rPr>
        <w:t>十</w:t>
      </w:r>
      <w:r>
        <w:rPr>
          <w:rFonts w:hint="eastAsia" w:ascii="宋体" w:hAnsi="宋体"/>
          <w:b/>
          <w:bCs/>
          <w:sz w:val="24"/>
          <w:highlight w:val="none"/>
          <w:lang w:eastAsia="zh-CN"/>
        </w:rPr>
        <w:t>八</w:t>
      </w:r>
      <w:r>
        <w:rPr>
          <w:rFonts w:hint="eastAsia" w:ascii="宋体" w:hAnsi="宋体"/>
          <w:b/>
          <w:bCs/>
          <w:sz w:val="24"/>
          <w:highlight w:val="none"/>
        </w:rPr>
        <w:t xml:space="preserve">、评审方法和原则 </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1、本项目采用综合评分法，满分100分。其中：商务部分30分，技术性能40分，最后报价30分。</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最后报价得分＝（磋商基准价/最后报价）×30</w:t>
      </w:r>
    </w:p>
    <w:p>
      <w:p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对小型、微型企业产品的最后报价给予6%的价格扣除，用扣除后的价格参与评审。评审价=最后报价-最后报价×6%，其评审价可以作为磋商基准价。</w:t>
      </w:r>
    </w:p>
    <w:p>
      <w:pPr>
        <w:numPr>
          <w:ilvl w:val="0"/>
          <w:numId w:val="1"/>
        </w:numPr>
        <w:snapToGrid w:val="0"/>
        <w:spacing w:line="360" w:lineRule="auto"/>
        <w:ind w:firstLine="461" w:firstLineChars="218"/>
        <w:rPr>
          <w:rFonts w:ascii="宋体" w:hAnsi="宋体" w:eastAsia="宋体" w:cs="宋体"/>
          <w:szCs w:val="21"/>
          <w:highlight w:val="none"/>
        </w:rPr>
      </w:pPr>
      <w:r>
        <w:rPr>
          <w:rFonts w:hint="eastAsia" w:ascii="宋体" w:hAnsi="宋体" w:eastAsia="宋体" w:cs="宋体"/>
          <w:szCs w:val="21"/>
          <w:highlight w:val="none"/>
        </w:rPr>
        <w:t>将入围供应商的综合得分按从高到低顺序排列，</w:t>
      </w:r>
      <w:r>
        <w:rPr>
          <w:rFonts w:hint="eastAsia" w:ascii="宋体" w:hAnsi="宋体" w:eastAsia="宋体" w:cs="宋体"/>
          <w:szCs w:val="21"/>
          <w:highlight w:val="none"/>
          <w:lang w:val="en-US" w:eastAsia="zh-CN"/>
        </w:rPr>
        <w:t>推荐排名前三名的为</w:t>
      </w:r>
      <w:r>
        <w:rPr>
          <w:rFonts w:hint="eastAsia" w:ascii="宋体" w:hAnsi="宋体" w:eastAsia="宋体" w:cs="宋体"/>
          <w:szCs w:val="21"/>
          <w:highlight w:val="none"/>
        </w:rPr>
        <w:t>成交</w:t>
      </w:r>
      <w:r>
        <w:rPr>
          <w:rFonts w:hint="eastAsia" w:ascii="宋体" w:hAnsi="宋体" w:eastAsia="宋体" w:cs="宋体"/>
          <w:szCs w:val="21"/>
          <w:highlight w:val="none"/>
          <w:lang w:val="en-US" w:eastAsia="zh-CN"/>
        </w:rPr>
        <w:t>候选</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其中</w:t>
      </w:r>
      <w:r>
        <w:rPr>
          <w:rFonts w:hint="eastAsia" w:ascii="宋体" w:hAnsi="宋体" w:eastAsia="宋体" w:cs="宋体"/>
          <w:szCs w:val="21"/>
          <w:highlight w:val="none"/>
        </w:rPr>
        <w:t>排在第一位的即为成交供应商。得分相同时，按最后报价由低到高顺序推荐；得分相同且最后报价相同的，按技术指标优劣顺序推荐。</w:t>
      </w:r>
    </w:p>
    <w:p>
      <w:pPr>
        <w:snapToGrid w:val="0"/>
        <w:spacing w:line="360" w:lineRule="auto"/>
        <w:ind w:firstLine="420"/>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61" w:firstLineChars="218"/>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、评审优惠政策</w:t>
      </w:r>
    </w:p>
    <w:p>
      <w:pPr>
        <w:snapToGrid w:val="0"/>
        <w:spacing w:line="360" w:lineRule="auto"/>
        <w:ind w:firstLine="461" w:firstLineChars="218"/>
        <w:rPr>
          <w:rFonts w:hint="eastAsia" w:ascii="宋体" w:hAnsi="宋体" w:cs="宋体"/>
          <w:szCs w:val="21"/>
        </w:rPr>
      </w:pPr>
      <w:r>
        <w:rPr>
          <w:rFonts w:hint="eastAsia" w:ascii="宋体" w:hAnsi="宋体" w:cs="宋体"/>
          <w:szCs w:val="21"/>
        </w:rPr>
        <w:t>A</w:t>
      </w:r>
      <w:r>
        <w:rPr>
          <w:rFonts w:hint="eastAsia" w:ascii="宋体" w:hAnsi="宋体" w:cs="宋体"/>
          <w:szCs w:val="21"/>
          <w:lang w:eastAsia="zh-CN"/>
        </w:rPr>
        <w:t>、</w:t>
      </w:r>
      <w:r>
        <w:rPr>
          <w:rFonts w:hint="eastAsia" w:ascii="宋体" w:hAnsi="宋体" w:cs="宋体"/>
          <w:szCs w:val="21"/>
        </w:rPr>
        <w:t>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61" w:firstLineChars="218"/>
        <w:rPr>
          <w:rFonts w:hint="eastAsia" w:ascii="宋体" w:hAnsi="宋体" w:cs="宋体"/>
          <w:szCs w:val="21"/>
        </w:rPr>
      </w:pPr>
      <w:r>
        <w:rPr>
          <w:rFonts w:hint="eastAsia" w:ascii="宋体" w:hAnsi="宋体" w:cs="宋体"/>
          <w:szCs w:val="21"/>
        </w:rPr>
        <w:t>B</w:t>
      </w:r>
      <w:r>
        <w:rPr>
          <w:rFonts w:hint="eastAsia" w:ascii="宋体" w:hAnsi="宋体" w:cs="宋体"/>
          <w:szCs w:val="21"/>
          <w:lang w:eastAsia="zh-CN"/>
        </w:rPr>
        <w:t>、</w:t>
      </w:r>
      <w:r>
        <w:rPr>
          <w:rFonts w:hint="eastAsia" w:ascii="宋体" w:hAnsi="宋体" w:cs="宋体"/>
          <w:szCs w:val="21"/>
        </w:rPr>
        <w:t>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61" w:firstLineChars="218"/>
        <w:rPr>
          <w:rFonts w:hint="eastAsia" w:ascii="宋体" w:hAnsi="宋体" w:cs="宋体"/>
          <w:szCs w:val="21"/>
          <w:highlight w:val="none"/>
        </w:rPr>
      </w:pPr>
      <w:r>
        <w:rPr>
          <w:rFonts w:hint="eastAsia" w:ascii="宋体" w:hAnsi="宋体" w:cs="宋体"/>
          <w:szCs w:val="21"/>
        </w:rPr>
        <w:t>C、根据财库［2011］181号文件规定，非专门面向中小企业的项目，对小型和微型企业产品的最后报价给予</w:t>
      </w:r>
      <w:r>
        <w:rPr>
          <w:rFonts w:hint="eastAsia" w:ascii="宋体" w:hAnsi="宋体" w:cs="宋体"/>
          <w:szCs w:val="21"/>
          <w:highlight w:val="none"/>
          <w:lang w:val="en-US" w:eastAsia="zh-CN"/>
        </w:rPr>
        <w:t>6</w:t>
      </w:r>
      <w:r>
        <w:rPr>
          <w:rFonts w:hint="eastAsia" w:ascii="宋体" w:hAnsi="宋体" w:cs="宋体"/>
          <w:szCs w:val="21"/>
          <w:highlight w:val="none"/>
        </w:rPr>
        <w:t>%的扣除，用扣除后的价格参与评审。</w:t>
      </w:r>
    </w:p>
    <w:p>
      <w:pPr>
        <w:snapToGrid w:val="0"/>
        <w:spacing w:line="360" w:lineRule="auto"/>
        <w:ind w:firstLine="461"/>
        <w:rPr>
          <w:rFonts w:hint="eastAsia" w:ascii="宋体"/>
          <w:highlight w:val="none"/>
        </w:rPr>
      </w:pPr>
      <w:r>
        <w:rPr>
          <w:rFonts w:hint="eastAsia" w:ascii="宋体"/>
          <w:highlight w:val="none"/>
        </w:rPr>
        <w:t>D、根据财政部发布的《关于政府采购支持监狱企业发展有关问题的通知》规定，对监狱企业产品的价格给予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E、根据财政部发布的《关于促进残疾人就业政府采购政策的通知》规定，对残疾人福利性单位产品的价格给予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注：★采购人所采购的产品属于国家有关安全、节能、环保等强制性标准，供应商所投产品必须同时满足强制标准和本项目采购要求。</w:t>
      </w:r>
    </w:p>
    <w:p>
      <w:pPr>
        <w:numPr>
          <w:ilvl w:val="0"/>
          <w:numId w:val="0"/>
        </w:numPr>
        <w:snapToGrid w:val="0"/>
        <w:spacing w:line="360" w:lineRule="auto"/>
        <w:ind w:firstLine="424" w:firstLineChars="200"/>
      </w:pPr>
      <w:r>
        <w:rPr>
          <w:rFonts w:hint="eastAsia" w:ascii="宋体"/>
          <w:lang w:val="en-US" w:eastAsia="zh-CN"/>
        </w:rPr>
        <w:t>5、</w:t>
      </w:r>
      <w:r>
        <w:rPr>
          <w:rFonts w:hint="eastAsia" w:ascii="宋体"/>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numPr>
          <w:ilvl w:val="0"/>
          <w:numId w:val="0"/>
        </w:numPr>
        <w:snapToGrid w:val="0"/>
        <w:spacing w:line="360" w:lineRule="auto"/>
        <w:ind w:firstLine="424" w:firstLineChars="200"/>
        <w:rPr>
          <w:rFonts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b/>
          <w:sz w:val="30"/>
          <w:szCs w:val="30"/>
          <w:highlight w:val="none"/>
        </w:rPr>
        <w:br w:type="page"/>
      </w:r>
    </w:p>
    <w:p>
      <w:pPr>
        <w:snapToGrid w:val="0"/>
        <w:spacing w:line="360" w:lineRule="auto"/>
        <w:ind w:firstLine="604" w:firstLineChars="200"/>
        <w:jc w:val="center"/>
        <w:rPr>
          <w:b/>
          <w:sz w:val="30"/>
          <w:szCs w:val="30"/>
          <w:highlight w:val="none"/>
        </w:rPr>
      </w:pPr>
    </w:p>
    <w:p>
      <w:pPr>
        <w:snapToGrid w:val="0"/>
        <w:spacing w:line="360" w:lineRule="auto"/>
        <w:ind w:firstLine="604" w:firstLineChars="200"/>
        <w:jc w:val="center"/>
        <w:rPr>
          <w:b/>
          <w:sz w:val="30"/>
          <w:szCs w:val="30"/>
          <w:highlight w:val="none"/>
        </w:rPr>
      </w:pPr>
      <w:r>
        <w:rPr>
          <w:rFonts w:hint="eastAsia"/>
          <w:b/>
          <w:sz w:val="30"/>
          <w:szCs w:val="30"/>
          <w:highlight w:val="none"/>
        </w:rPr>
        <w:t>评分标准和评分细则</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23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jc w:val="center"/>
              <w:rPr>
                <w:rFonts w:ascii="宋体" w:hAnsi="宋体" w:eastAsia="宋体" w:cs="宋体"/>
                <w:szCs w:val="21"/>
              </w:rPr>
            </w:pPr>
            <w:r>
              <w:rPr>
                <w:rFonts w:hint="eastAsia" w:ascii="宋体" w:hAnsi="宋体" w:eastAsia="宋体" w:cs="宋体"/>
                <w:szCs w:val="21"/>
              </w:rPr>
              <w:t>序号</w:t>
            </w:r>
          </w:p>
        </w:tc>
        <w:tc>
          <w:tcPr>
            <w:tcW w:w="4053" w:type="pct"/>
          </w:tcPr>
          <w:p>
            <w:pPr>
              <w:jc w:val="center"/>
              <w:rPr>
                <w:rFonts w:ascii="宋体" w:hAnsi="宋体" w:eastAsia="宋体" w:cs="宋体"/>
                <w:szCs w:val="21"/>
              </w:rPr>
            </w:pPr>
            <w:r>
              <w:rPr>
                <w:rFonts w:hint="eastAsia" w:ascii="宋体" w:hAnsi="宋体" w:eastAsia="宋体" w:cs="宋体"/>
                <w:szCs w:val="21"/>
              </w:rPr>
              <w:t>评审因素及说明</w:t>
            </w:r>
          </w:p>
        </w:tc>
        <w:tc>
          <w:tcPr>
            <w:tcW w:w="493" w:type="pct"/>
          </w:tcPr>
          <w:p>
            <w:pPr>
              <w:rPr>
                <w:rFonts w:ascii="宋体" w:hAnsi="宋体" w:eastAsia="宋体" w:cs="宋体"/>
                <w:szCs w:val="21"/>
              </w:rPr>
            </w:pPr>
            <w:r>
              <w:rPr>
                <w:rFonts w:hint="eastAsia" w:ascii="宋体" w:hAnsi="宋体" w:eastAsia="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jc w:val="center"/>
              <w:rPr>
                <w:rFonts w:ascii="宋体" w:hAnsi="宋体" w:eastAsia="宋体" w:cs="宋体"/>
                <w:szCs w:val="21"/>
              </w:rPr>
            </w:pPr>
            <w:r>
              <w:rPr>
                <w:rFonts w:hint="eastAsia" w:ascii="宋体" w:hAnsi="宋体" w:eastAsia="宋体" w:cs="宋体"/>
                <w:szCs w:val="21"/>
              </w:rPr>
              <w:t>一、商务部分（30分）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1.1</w:t>
            </w:r>
          </w:p>
        </w:tc>
        <w:tc>
          <w:tcPr>
            <w:tcW w:w="4053" w:type="pct"/>
            <w:vAlign w:val="center"/>
          </w:tcPr>
          <w:p>
            <w:pPr>
              <w:rPr>
                <w:rFonts w:ascii="宋体" w:hAnsi="宋体" w:eastAsia="宋体" w:cs="宋体"/>
                <w:szCs w:val="21"/>
              </w:rPr>
            </w:pPr>
            <w:r>
              <w:rPr>
                <w:rFonts w:hint="eastAsia" w:ascii="宋体" w:hAnsi="宋体" w:eastAsia="宋体" w:cs="宋体"/>
                <w:szCs w:val="21"/>
              </w:rPr>
              <w:t>类似业绩：提供近2017-2019年同类产品业绩合同（单项单次4000套以上的供货业绩），每提供一份加0.5分，最多得4分。（开标现场提供合同原件、中标通知书原件、网页版中标公告备查，未提供的不得分）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1.2</w:t>
            </w:r>
          </w:p>
        </w:tc>
        <w:tc>
          <w:tcPr>
            <w:tcW w:w="4053" w:type="pct"/>
            <w:vAlign w:val="center"/>
          </w:tcPr>
          <w:p>
            <w:pPr>
              <w:rPr>
                <w:rFonts w:ascii="宋体" w:hAnsi="宋体" w:eastAsia="宋体" w:cs="宋体"/>
                <w:szCs w:val="21"/>
              </w:rPr>
            </w:pPr>
            <w:r>
              <w:rPr>
                <w:rFonts w:hint="eastAsia" w:ascii="宋体" w:hAnsi="宋体" w:eastAsia="宋体" w:cs="宋体"/>
                <w:szCs w:val="21"/>
              </w:rPr>
              <w:t>原材料来源：提供</w:t>
            </w:r>
            <w:r>
              <w:rPr>
                <w:rFonts w:hint="eastAsia" w:ascii="宋体" w:hAnsi="宋体" w:eastAsia="宋体" w:cs="宋体"/>
                <w:szCs w:val="21"/>
                <w:highlight w:val="none"/>
              </w:rPr>
              <w:t>2020</w:t>
            </w:r>
            <w:r>
              <w:rPr>
                <w:rFonts w:hint="eastAsia" w:ascii="宋体" w:hAnsi="宋体" w:eastAsia="宋体" w:cs="宋体"/>
                <w:szCs w:val="21"/>
              </w:rPr>
              <w:t>年度棉花采购合同、发票及公检报告得3分（原件备查，未携带原件本项不得分）。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1.3</w:t>
            </w:r>
          </w:p>
        </w:tc>
        <w:tc>
          <w:tcPr>
            <w:tcW w:w="4053" w:type="pct"/>
            <w:vAlign w:val="center"/>
          </w:tcPr>
          <w:p>
            <w:pPr>
              <w:rPr>
                <w:rFonts w:ascii="宋体" w:hAnsi="宋体" w:eastAsia="宋体" w:cs="宋体"/>
                <w:szCs w:val="21"/>
              </w:rPr>
            </w:pPr>
            <w:r>
              <w:rPr>
                <w:rFonts w:hint="eastAsia" w:ascii="宋体" w:hAnsi="宋体" w:eastAsia="宋体" w:cs="宋体"/>
                <w:szCs w:val="21"/>
              </w:rPr>
              <w:t>企业管理体系认证：供应商应具有ISO9001质量体系认证、环境管理体系认证、职业健康安全体系认证，每有一项得1分，最多得3分。（需提供证明材料，附网页截图）</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1.4</w:t>
            </w:r>
          </w:p>
        </w:tc>
        <w:tc>
          <w:tcPr>
            <w:tcW w:w="4053" w:type="pct"/>
            <w:vAlign w:val="center"/>
          </w:tcPr>
          <w:p>
            <w:pPr>
              <w:rPr>
                <w:rFonts w:ascii="宋体" w:hAnsi="宋体" w:eastAsia="宋体" w:cs="宋体"/>
                <w:szCs w:val="21"/>
              </w:rPr>
            </w:pPr>
            <w:r>
              <w:rPr>
                <w:rFonts w:hint="eastAsia" w:ascii="宋体" w:hAnsi="宋体" w:eastAsia="宋体" w:cs="宋体"/>
                <w:szCs w:val="21"/>
              </w:rPr>
              <w:t>综合商务：综合考虑投标人的资信和信誉、生产加工能力等。</w:t>
            </w:r>
          </w:p>
          <w:p>
            <w:pPr>
              <w:rPr>
                <w:rFonts w:ascii="宋体" w:hAnsi="宋体" w:eastAsia="宋体" w:cs="宋体"/>
                <w:szCs w:val="21"/>
              </w:rPr>
            </w:pPr>
            <w:r>
              <w:rPr>
                <w:rFonts w:hint="eastAsia" w:ascii="宋体" w:hAnsi="宋体" w:eastAsia="宋体" w:cs="宋体"/>
                <w:szCs w:val="21"/>
              </w:rPr>
              <w:t>资信和信誉优秀，生产加工能力较强的供应商得</w:t>
            </w:r>
            <w:r>
              <w:rPr>
                <w:rFonts w:hint="eastAsia" w:ascii="宋体" w:hAnsi="宋体" w:eastAsia="宋体" w:cs="宋体"/>
                <w:szCs w:val="21"/>
                <w:lang w:val="en-US" w:eastAsia="zh-CN"/>
              </w:rPr>
              <w:t>4-5</w:t>
            </w:r>
            <w:r>
              <w:rPr>
                <w:rFonts w:hint="eastAsia" w:ascii="宋体" w:hAnsi="宋体" w:eastAsia="宋体" w:cs="宋体"/>
                <w:szCs w:val="21"/>
              </w:rPr>
              <w:t>分；</w:t>
            </w:r>
          </w:p>
          <w:p>
            <w:r>
              <w:rPr>
                <w:rFonts w:hint="eastAsia" w:ascii="宋体" w:hAnsi="宋体" w:eastAsia="宋体" w:cs="宋体"/>
                <w:szCs w:val="21"/>
              </w:rPr>
              <w:t>资信和信誉较好，生产加工能力基本符合要求的供应商得</w:t>
            </w:r>
            <w:r>
              <w:rPr>
                <w:rFonts w:hint="eastAsia" w:ascii="宋体" w:hAnsi="宋体" w:eastAsia="宋体" w:cs="宋体"/>
                <w:szCs w:val="21"/>
                <w:lang w:val="en-US" w:eastAsia="zh-CN"/>
              </w:rPr>
              <w:t>1-3</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资信和信誉、生产加工能力有一项不能满足项目要求的不得分。（须提供银行基本账户资信证明，生产企业人员情况表，实际生产设备、生产车间、生产环境、厂房实景拍摄照片，以上材料加盖公章，若考察时，发现企业实际生产环境与提供材料不一致，作为废标处理，投标保证金不予退还，未提供材料或不全的本项目不得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1.5</w:t>
            </w:r>
          </w:p>
        </w:tc>
        <w:tc>
          <w:tcPr>
            <w:tcW w:w="4053" w:type="pct"/>
            <w:vAlign w:val="center"/>
          </w:tcPr>
          <w:p>
            <w:pPr>
              <w:rPr>
                <w:rFonts w:hint="eastAsia" w:ascii="宋体" w:hAnsi="宋体" w:eastAsia="宋体" w:cs="宋体"/>
                <w:szCs w:val="21"/>
                <w:lang w:eastAsia="zh-CN"/>
              </w:rPr>
            </w:pPr>
            <w:r>
              <w:rPr>
                <w:rFonts w:hint="eastAsia" w:ascii="宋体" w:hAnsi="宋体" w:eastAsia="宋体" w:cs="宋体"/>
                <w:szCs w:val="21"/>
              </w:rPr>
              <w:t>实施方案：项目实施方案完善合理，符合学校的实际情况，详细写明货物的生产采购到以打包的形式送货到指定寝室并由厂商购买锁具和装柜及现场销售全过程，并附生产工艺、打包配送等流程相关图片，能够保证采购人全过程的监督，得</w:t>
            </w:r>
            <w:r>
              <w:rPr>
                <w:rFonts w:hint="eastAsia" w:ascii="宋体" w:hAnsi="宋体" w:eastAsia="宋体" w:cs="宋体"/>
                <w:szCs w:val="21"/>
                <w:lang w:val="en-US" w:eastAsia="zh-CN"/>
              </w:rPr>
              <w:t>4-5</w:t>
            </w:r>
            <w:r>
              <w:rPr>
                <w:rFonts w:hint="eastAsia" w:ascii="宋体" w:hAnsi="宋体" w:eastAsia="宋体" w:cs="宋体"/>
                <w:szCs w:val="21"/>
              </w:rPr>
              <w:t>分</w:t>
            </w:r>
            <w:r>
              <w:rPr>
                <w:rFonts w:hint="eastAsia" w:ascii="宋体" w:hAnsi="宋体" w:eastAsia="宋体" w:cs="宋体"/>
                <w:szCs w:val="21"/>
                <w:lang w:eastAsia="zh-CN"/>
              </w:rPr>
              <w:t>；</w:t>
            </w:r>
          </w:p>
          <w:p>
            <w:pPr>
              <w:rPr>
                <w:rFonts w:hint="eastAsia" w:ascii="宋体" w:hAnsi="宋体" w:eastAsia="宋体" w:cs="宋体"/>
                <w:szCs w:val="21"/>
                <w:lang w:eastAsia="zh-CN"/>
              </w:rPr>
            </w:pPr>
            <w:r>
              <w:rPr>
                <w:rFonts w:hint="eastAsia" w:ascii="宋体" w:hAnsi="宋体" w:eastAsia="宋体" w:cs="宋体"/>
                <w:szCs w:val="21"/>
              </w:rPr>
              <w:t>项目实施方案基本合理，符合学校的实际情况，有货物的生产采购到以打包的形式送货到指定寝室并由厂商购买锁具和装柜及现场销售全过程，并附生产工艺、打包配送等流程相关图片，能够保证采购人全过程的监督，没有遗漏</w:t>
            </w:r>
            <w:r>
              <w:rPr>
                <w:rFonts w:hint="eastAsia" w:ascii="宋体" w:hAnsi="宋体" w:eastAsia="宋体" w:cs="宋体"/>
                <w:szCs w:val="21"/>
                <w:lang w:eastAsia="zh-CN"/>
              </w:rPr>
              <w:t>，</w:t>
            </w:r>
            <w:r>
              <w:rPr>
                <w:rFonts w:hint="eastAsia" w:ascii="宋体" w:hAnsi="宋体" w:eastAsia="宋体" w:cs="宋体"/>
                <w:szCs w:val="21"/>
              </w:rPr>
              <w:t>得</w:t>
            </w:r>
            <w:r>
              <w:rPr>
                <w:rFonts w:hint="eastAsia" w:ascii="宋体" w:hAnsi="宋体" w:eastAsia="宋体" w:cs="宋体"/>
                <w:szCs w:val="21"/>
                <w:lang w:val="en-US" w:eastAsia="zh-CN"/>
              </w:rPr>
              <w:t>1-3</w:t>
            </w:r>
            <w:r>
              <w:rPr>
                <w:rFonts w:hint="eastAsia" w:ascii="宋体" w:hAnsi="宋体" w:eastAsia="宋体" w:cs="宋体"/>
                <w:szCs w:val="21"/>
              </w:rPr>
              <w:t>分</w:t>
            </w:r>
            <w:r>
              <w:rPr>
                <w:rFonts w:hint="eastAsia" w:ascii="宋体" w:hAnsi="宋体" w:eastAsia="宋体" w:cs="宋体"/>
                <w:szCs w:val="21"/>
                <w:lang w:eastAsia="zh-CN"/>
              </w:rPr>
              <w:t>；</w:t>
            </w:r>
          </w:p>
          <w:p>
            <w:pPr>
              <w:rPr>
                <w:rFonts w:ascii="宋体" w:hAnsi="宋体" w:eastAsia="宋体" w:cs="宋体"/>
                <w:szCs w:val="21"/>
              </w:rPr>
            </w:pPr>
            <w:r>
              <w:rPr>
                <w:rFonts w:hint="eastAsia" w:ascii="宋体" w:hAnsi="宋体" w:eastAsia="宋体" w:cs="宋体"/>
                <w:szCs w:val="21"/>
              </w:rPr>
              <w:t>没有或有遗漏的不得分。（供应商须作出单独承诺，如图片与实际生产车间或实际情况不符，作为废标处理，无此承诺本项不得分）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1.6</w:t>
            </w:r>
          </w:p>
        </w:tc>
        <w:tc>
          <w:tcPr>
            <w:tcW w:w="4053" w:type="pct"/>
            <w:vAlign w:val="center"/>
          </w:tcPr>
          <w:p>
            <w:pPr>
              <w:widowControl/>
              <w:rPr>
                <w:rFonts w:ascii="宋体" w:hAnsi="宋体" w:eastAsia="宋体" w:cs="宋体"/>
                <w:szCs w:val="21"/>
              </w:rPr>
            </w:pPr>
            <w:r>
              <w:rPr>
                <w:rFonts w:hint="eastAsia" w:ascii="宋体" w:hAnsi="宋体" w:eastAsia="宋体" w:cs="宋体"/>
                <w:spacing w:val="-10"/>
                <w:kern w:val="0"/>
                <w:szCs w:val="21"/>
              </w:rPr>
              <w:t>响应文件格式:响应文件编制完整、有目录(目录对应页码）、总体编排有序，格式规范、装订整齐、页码连续清晰，得2分；每有一项不符合要求的扣0.2分；响应文件有关内容前后矛盾、与磋商</w:t>
            </w:r>
            <w:r>
              <w:rPr>
                <w:rFonts w:hint="eastAsia" w:ascii="宋体" w:hAnsi="宋体" w:eastAsia="宋体" w:cs="宋体"/>
                <w:spacing w:val="-10"/>
                <w:kern w:val="0"/>
                <w:szCs w:val="21"/>
                <w:lang w:eastAsia="zh-CN"/>
              </w:rPr>
              <w:t>要</w:t>
            </w:r>
            <w:r>
              <w:rPr>
                <w:rFonts w:hint="eastAsia" w:ascii="宋体" w:hAnsi="宋体" w:eastAsia="宋体" w:cs="宋体"/>
                <w:spacing w:val="-10"/>
                <w:kern w:val="0"/>
                <w:szCs w:val="21"/>
              </w:rPr>
              <w:t>求不一致等，磋商小组允许且需要通过询标等程序进行澄清的，该项不得分。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1.7</w:t>
            </w:r>
          </w:p>
        </w:tc>
        <w:tc>
          <w:tcPr>
            <w:tcW w:w="4053" w:type="pct"/>
            <w:vAlign w:val="center"/>
          </w:tcPr>
          <w:p>
            <w:pPr>
              <w:widowControl/>
              <w:rPr>
                <w:rFonts w:ascii="宋体" w:hAnsi="宋体" w:eastAsia="宋体" w:cs="宋体"/>
                <w:spacing w:val="-10"/>
                <w:kern w:val="0"/>
                <w:szCs w:val="21"/>
              </w:rPr>
            </w:pPr>
            <w:r>
              <w:rPr>
                <w:rFonts w:hint="eastAsia" w:ascii="宋体" w:hAnsi="宋体" w:eastAsia="宋体" w:cs="宋体"/>
                <w:spacing w:val="-10"/>
                <w:kern w:val="0"/>
                <w:szCs w:val="21"/>
              </w:rPr>
              <w:t xml:space="preserve">售后服务机构：在哈尔滨市内有服务机构的得5分，在黑龙江省内有服务机构的得2分，其他不得分，需要提供证明材料。（本地企业提供企业法人营业执照、外地企业提供服务团队房屋租赁证明或驻哈登记证等） </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1.8</w:t>
            </w:r>
          </w:p>
        </w:tc>
        <w:tc>
          <w:tcPr>
            <w:tcW w:w="4053" w:type="pct"/>
            <w:vAlign w:val="center"/>
          </w:tcPr>
          <w:p>
            <w:pPr>
              <w:widowControl/>
              <w:rPr>
                <w:rFonts w:ascii="宋体" w:hAnsi="宋体" w:eastAsia="宋体" w:cs="宋体"/>
                <w:spacing w:val="-10"/>
                <w:kern w:val="0"/>
                <w:szCs w:val="21"/>
              </w:rPr>
            </w:pPr>
            <w:r>
              <w:rPr>
                <w:rFonts w:hint="eastAsia" w:ascii="宋体" w:hAnsi="宋体" w:eastAsia="宋体" w:cs="宋体"/>
                <w:spacing w:val="-10"/>
                <w:kern w:val="0"/>
                <w:szCs w:val="21"/>
              </w:rPr>
              <w:t>售后服务体系：承诺提供不少于两人的售后服务人员，能够及时响应与处理产品出现的质量问题。满足得3分，其他不得分。须出具售后服务人员的近半年(至开标之日之前一个月）在本地依法缴纳养老保险的清单。（须提供社保部门出具的专用收据或社保缴纳清单，加盖投标企业公章）</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0" w:type="pct"/>
            <w:gridSpan w:val="3"/>
            <w:vAlign w:val="center"/>
          </w:tcPr>
          <w:p>
            <w:pPr>
              <w:jc w:val="center"/>
              <w:rPr>
                <w:rFonts w:ascii="宋体" w:hAnsi="宋体" w:eastAsia="宋体" w:cs="宋体"/>
                <w:szCs w:val="21"/>
              </w:rPr>
            </w:pPr>
            <w:r>
              <w:rPr>
                <w:rFonts w:hint="eastAsia" w:ascii="宋体" w:hAnsi="宋体" w:eastAsia="宋体" w:cs="宋体"/>
                <w:szCs w:val="21"/>
              </w:rPr>
              <w:t>二、技术性能（40分）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2.1</w:t>
            </w:r>
          </w:p>
        </w:tc>
        <w:tc>
          <w:tcPr>
            <w:tcW w:w="4053" w:type="pct"/>
            <w:vAlign w:val="center"/>
          </w:tcPr>
          <w:p>
            <w:pPr>
              <w:rPr>
                <w:rFonts w:ascii="宋体" w:hAnsi="宋体" w:eastAsia="宋体" w:cs="宋体"/>
                <w:szCs w:val="21"/>
              </w:rPr>
            </w:pPr>
            <w:r>
              <w:rPr>
                <w:rFonts w:hint="eastAsia" w:ascii="宋体" w:hAnsi="宋体" w:eastAsia="宋体" w:cs="宋体"/>
                <w:szCs w:val="21"/>
              </w:rPr>
              <w:t>样品技术条款：</w:t>
            </w:r>
          </w:p>
          <w:p>
            <w:pPr>
              <w:rPr>
                <w:rFonts w:ascii="宋体" w:hAnsi="宋体" w:eastAsia="宋体" w:cs="宋体"/>
                <w:szCs w:val="21"/>
              </w:rPr>
            </w:pPr>
            <w:r>
              <w:rPr>
                <w:rFonts w:hint="eastAsia" w:ascii="宋体" w:hAnsi="宋体" w:eastAsia="宋体" w:cs="宋体"/>
                <w:szCs w:val="21"/>
              </w:rPr>
              <w:t xml:space="preserve">a.加工工艺水平：  </w:t>
            </w:r>
          </w:p>
          <w:p>
            <w:pPr>
              <w:rPr>
                <w:rFonts w:ascii="宋体" w:hAnsi="宋体" w:eastAsia="宋体" w:cs="宋体"/>
                <w:szCs w:val="21"/>
              </w:rPr>
            </w:pPr>
            <w:r>
              <w:rPr>
                <w:rFonts w:hint="eastAsia" w:ascii="宋体" w:hAnsi="宋体" w:eastAsia="宋体" w:cs="宋体"/>
                <w:szCs w:val="21"/>
              </w:rPr>
              <w:t>1.外观无破损、针眼、色污，无条块状、线状疵点和印花不良，面料无拼幅或接头，美观、整齐（1-3分）。</w:t>
            </w:r>
          </w:p>
          <w:p>
            <w:pPr>
              <w:rPr>
                <w:rFonts w:ascii="宋体" w:hAnsi="宋体" w:eastAsia="宋体" w:cs="宋体"/>
                <w:szCs w:val="21"/>
              </w:rPr>
            </w:pPr>
            <w:r>
              <w:rPr>
                <w:rFonts w:hint="eastAsia" w:ascii="宋体" w:hAnsi="宋体" w:eastAsia="宋体" w:cs="宋体"/>
                <w:szCs w:val="21"/>
              </w:rPr>
              <w:t>2.缝纫轨迹平直均匀，针迹牢固，无跳针、跳线，针迹密度≥10针/3厘米；卷边拼缝平直，不露毛，面/里料缝制错位小于1厘米（1-3分）。</w:t>
            </w:r>
          </w:p>
          <w:p>
            <w:pPr>
              <w:rPr>
                <w:rFonts w:ascii="宋体" w:hAnsi="宋体" w:eastAsia="宋体" w:cs="宋体"/>
                <w:szCs w:val="21"/>
              </w:rPr>
            </w:pPr>
            <w:r>
              <w:rPr>
                <w:rFonts w:hint="eastAsia" w:ascii="宋体" w:hAnsi="宋体" w:eastAsia="宋体" w:cs="宋体"/>
                <w:szCs w:val="21"/>
              </w:rPr>
              <w:t>3.棉被、棉褥缝制行距均匀顺直，表面浮线长度≤0.6厘米，浮点距离≤6厘米，重叠长度≥1厘米（1-3分）。</w:t>
            </w:r>
          </w:p>
          <w:p>
            <w:pPr>
              <w:rPr>
                <w:rFonts w:ascii="宋体" w:hAnsi="宋体" w:eastAsia="宋体" w:cs="宋体"/>
                <w:szCs w:val="21"/>
              </w:rPr>
            </w:pPr>
            <w:r>
              <w:rPr>
                <w:rFonts w:hint="eastAsia" w:ascii="宋体" w:hAnsi="宋体" w:eastAsia="宋体" w:cs="宋体"/>
                <w:szCs w:val="21"/>
              </w:rPr>
              <w:t>b.提供符合用户要求的床单、被罩、枕套（100%纯棉斜纹印染花布40支纱 133经密*72纬密）所用布料和棉纱由法定纤维检验部门出具的检验报告，纱织、密度误差正负3%，且水洗尺寸变化率达到优等品标准得4分、达到一等品标准得2分、达到合格品标准得1分，否则0分；</w:t>
            </w:r>
          </w:p>
          <w:p>
            <w:pPr>
              <w:rPr>
                <w:rFonts w:ascii="宋体" w:hAnsi="宋体" w:eastAsia="宋体" w:cs="宋体"/>
                <w:szCs w:val="21"/>
              </w:rPr>
            </w:pPr>
            <w:r>
              <w:rPr>
                <w:rFonts w:hint="eastAsia" w:ascii="宋体" w:hAnsi="宋体" w:eastAsia="宋体" w:cs="宋体"/>
                <w:szCs w:val="21"/>
              </w:rPr>
              <w:t>c.提供符合用户要求的被里、褥里、枕芯面料（100%纯棉原白布 30支纱 75经密*75纬密）所用布料和棉纱由法定纤维检验部门出具的检验报告，纱织、密度误差正负3%，得3分，否则0分；</w:t>
            </w:r>
          </w:p>
          <w:p>
            <w:pPr>
              <w:rPr>
                <w:rFonts w:ascii="宋体" w:hAnsi="宋体" w:eastAsia="宋体" w:cs="宋体"/>
                <w:szCs w:val="21"/>
              </w:rPr>
            </w:pPr>
            <w:r>
              <w:rPr>
                <w:rFonts w:hint="eastAsia" w:ascii="宋体" w:hAnsi="宋体" w:eastAsia="宋体" w:cs="宋体"/>
                <w:szCs w:val="21"/>
              </w:rPr>
              <w:t>d.符合用户要求的产品所用棉花由法定纤维检验部门出具的检验报告，含杂率≤0.6得5分、0.6&lt;含杂率≤0.7得3分、0.7&lt;含杂率≤0.8得1分，含杂率＞0.8或无法定纤维检验部门出具的检验报不得分；</w:t>
            </w:r>
          </w:p>
          <w:p>
            <w:pPr>
              <w:rPr>
                <w:rFonts w:ascii="宋体" w:hAnsi="宋体" w:eastAsia="宋体" w:cs="宋体"/>
                <w:szCs w:val="21"/>
              </w:rPr>
            </w:pPr>
            <w:r>
              <w:rPr>
                <w:rFonts w:hint="eastAsia" w:ascii="宋体" w:hAnsi="宋体" w:eastAsia="宋体" w:cs="宋体"/>
                <w:szCs w:val="21"/>
              </w:rPr>
              <w:t>e.提供符合用户要求的枕芯所用涤纶由法定纤维检验部门出具的检验报告，得3分,否则0分；</w:t>
            </w:r>
          </w:p>
          <w:p>
            <w:pPr>
              <w:rPr>
                <w:rFonts w:ascii="宋体" w:hAnsi="宋体" w:eastAsia="宋体" w:cs="宋体"/>
                <w:szCs w:val="21"/>
              </w:rPr>
            </w:pPr>
            <w:r>
              <w:rPr>
                <w:rFonts w:hint="eastAsia" w:ascii="宋体" w:hAnsi="宋体" w:eastAsia="宋体" w:cs="宋体"/>
                <w:szCs w:val="21"/>
              </w:rPr>
              <w:t>f.棉被胎、棉褥胎</w:t>
            </w:r>
            <w:r>
              <w:rPr>
                <w:rFonts w:hint="eastAsia" w:ascii="宋体" w:hAnsi="宋体" w:eastAsia="宋体" w:cs="宋体"/>
                <w:szCs w:val="21"/>
                <w:lang w:eastAsia="zh-CN"/>
              </w:rPr>
              <w:t>、</w:t>
            </w:r>
            <w:r>
              <w:rPr>
                <w:rFonts w:hint="eastAsia" w:ascii="宋体" w:hAnsi="宋体" w:eastAsia="宋体" w:cs="宋体"/>
                <w:szCs w:val="21"/>
              </w:rPr>
              <w:t>枕芯重量全部符合技术要求得3分，否则0分；</w:t>
            </w:r>
          </w:p>
          <w:p>
            <w:pPr>
              <w:rPr>
                <w:rFonts w:ascii="宋体" w:hAnsi="宋体" w:eastAsia="宋体" w:cs="宋体"/>
                <w:szCs w:val="21"/>
              </w:rPr>
            </w:pPr>
            <w:r>
              <w:rPr>
                <w:rFonts w:hint="eastAsia" w:ascii="宋体" w:hAnsi="宋体" w:eastAsia="宋体" w:cs="宋体"/>
                <w:szCs w:val="21"/>
              </w:rPr>
              <w:t>g.产品尺寸规格全部符合技术要求得3分，否则0分。</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2.2</w:t>
            </w:r>
          </w:p>
        </w:tc>
        <w:tc>
          <w:tcPr>
            <w:tcW w:w="4053" w:type="pct"/>
            <w:vAlign w:val="center"/>
          </w:tcPr>
          <w:p>
            <w:pPr>
              <w:rPr>
                <w:rFonts w:ascii="宋体" w:hAnsi="宋体" w:eastAsia="宋体" w:cs="宋体"/>
                <w:szCs w:val="21"/>
              </w:rPr>
            </w:pPr>
            <w:r>
              <w:rPr>
                <w:rFonts w:hint="eastAsia" w:ascii="宋体" w:hAnsi="宋体" w:eastAsia="宋体" w:cs="宋体"/>
                <w:szCs w:val="21"/>
              </w:rPr>
              <w:t>响应文件参数偏离：</w:t>
            </w:r>
          </w:p>
          <w:p>
            <w:pPr>
              <w:rPr>
                <w:rFonts w:ascii="宋体" w:hAnsi="宋体" w:eastAsia="宋体" w:cs="宋体"/>
                <w:szCs w:val="21"/>
              </w:rPr>
            </w:pPr>
            <w:r>
              <w:rPr>
                <w:rFonts w:hint="eastAsia" w:ascii="宋体" w:hAnsi="宋体" w:eastAsia="宋体" w:cs="宋体"/>
                <w:szCs w:val="21"/>
              </w:rPr>
              <w:t>1、供应商须提供产品和主要原材料完整的第三方纤维检验部门出具的2020年检验报告，满足磋商文件全部需求的得10分（若检测报告数据、所提供样品、响应文件中所响应技术指标不一致，则本项不得分）。</w:t>
            </w:r>
          </w:p>
          <w:p>
            <w:pPr>
              <w:rPr>
                <w:rFonts w:ascii="宋体" w:hAnsi="宋体" w:eastAsia="宋体" w:cs="宋体"/>
                <w:szCs w:val="21"/>
              </w:rPr>
            </w:pPr>
            <w:r>
              <w:rPr>
                <w:rFonts w:hint="eastAsia" w:ascii="宋体" w:hAnsi="宋体" w:eastAsia="宋体" w:cs="宋体"/>
                <w:szCs w:val="21"/>
              </w:rPr>
              <w:t>2、响应供应商一般技术指标、参数低于磋商文件中相应的技术指标、参数的，每有一项减2分，最多减8分（五项即为无效响应文件）。</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jc w:val="center"/>
              <w:rPr>
                <w:rFonts w:ascii="宋体" w:hAnsi="宋体" w:eastAsia="宋体" w:cs="宋体"/>
                <w:szCs w:val="21"/>
              </w:rPr>
            </w:pPr>
            <w:r>
              <w:rPr>
                <w:rFonts w:hint="eastAsia" w:ascii="宋体" w:hAnsi="宋体" w:eastAsia="宋体" w:cs="宋体"/>
                <w:szCs w:val="21"/>
              </w:rPr>
              <w:t>三、最后报价（30分）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jc w:val="center"/>
              <w:rPr>
                <w:rFonts w:ascii="宋体" w:hAnsi="宋体" w:eastAsia="宋体" w:cs="宋体"/>
                <w:szCs w:val="21"/>
              </w:rPr>
            </w:pPr>
            <w:r>
              <w:rPr>
                <w:rFonts w:hint="eastAsia" w:ascii="宋体" w:hAnsi="宋体" w:eastAsia="宋体" w:cs="宋体"/>
                <w:szCs w:val="21"/>
              </w:rPr>
              <w:t>3.1</w:t>
            </w:r>
          </w:p>
        </w:tc>
        <w:tc>
          <w:tcPr>
            <w:tcW w:w="4053" w:type="pct"/>
            <w:vAlign w:val="center"/>
          </w:tcPr>
          <w:p>
            <w:pPr>
              <w:widowControl/>
              <w:rPr>
                <w:rFonts w:ascii="宋体" w:hAnsi="宋体" w:eastAsia="宋体" w:cs="宋体"/>
                <w:color w:val="000000"/>
                <w:spacing w:val="-10"/>
                <w:kern w:val="0"/>
                <w:szCs w:val="21"/>
              </w:rPr>
            </w:pPr>
            <w:r>
              <w:rPr>
                <w:rFonts w:hint="eastAsia" w:ascii="宋体" w:hAnsi="宋体" w:eastAsia="宋体" w:cs="宋体"/>
                <w:kern w:val="0"/>
                <w:szCs w:val="21"/>
              </w:rPr>
              <w:t>磋商报价：</w:t>
            </w:r>
            <w:r>
              <w:rPr>
                <w:rFonts w:hint="eastAsia" w:ascii="宋体" w:hAnsi="宋体" w:eastAsia="宋体" w:cs="宋体"/>
                <w:color w:val="000000"/>
                <w:spacing w:val="-10"/>
                <w:kern w:val="0"/>
                <w:szCs w:val="21"/>
              </w:rPr>
              <w:t>采用低价优先法计算，即满足磋商文件要求且最后报价最低的报价为磋商基准价，其价格分为满分。其他入围供应商的最后报价得分统一按照下列公式计算：</w:t>
            </w:r>
          </w:p>
          <w:p>
            <w:pPr>
              <w:rPr>
                <w:rFonts w:ascii="宋体" w:hAnsi="宋体" w:eastAsia="宋体" w:cs="宋体"/>
                <w:szCs w:val="21"/>
              </w:rPr>
            </w:pPr>
            <w:r>
              <w:rPr>
                <w:rFonts w:hint="eastAsia" w:ascii="宋体" w:hAnsi="宋体" w:eastAsia="宋体" w:cs="宋体"/>
                <w:color w:val="000000"/>
                <w:spacing w:val="-10"/>
                <w:kern w:val="0"/>
                <w:szCs w:val="21"/>
              </w:rPr>
              <w:t>最后报价得分＝（磋商基准价/最后报价）×30</w:t>
            </w:r>
          </w:p>
        </w:tc>
        <w:tc>
          <w:tcPr>
            <w:tcW w:w="493" w:type="pct"/>
            <w:vAlign w:val="center"/>
          </w:tcPr>
          <w:p>
            <w:pPr>
              <w:jc w:val="center"/>
              <w:rPr>
                <w:rFonts w:ascii="宋体" w:hAnsi="宋体" w:eastAsia="宋体" w:cs="宋体"/>
                <w:szCs w:val="21"/>
              </w:rPr>
            </w:pPr>
            <w:r>
              <w:rPr>
                <w:rFonts w:hint="eastAsia" w:ascii="宋体" w:hAnsi="宋体" w:eastAsia="宋体" w:cs="宋体"/>
                <w:szCs w:val="21"/>
              </w:rPr>
              <w:t>30分</w:t>
            </w:r>
          </w:p>
        </w:tc>
      </w:tr>
    </w:tbl>
    <w:p>
      <w:pPr>
        <w:snapToGrid w:val="0"/>
        <w:spacing w:line="360" w:lineRule="auto"/>
        <w:rPr>
          <w:rFonts w:ascii="宋体" w:hAnsi="宋体" w:eastAsia="宋体" w:cs="宋体"/>
          <w:szCs w:val="21"/>
          <w:highlight w:val="none"/>
        </w:rPr>
      </w:pPr>
    </w:p>
    <w:p>
      <w:pPr>
        <w:snapToGrid w:val="0"/>
        <w:spacing w:line="360" w:lineRule="auto"/>
        <w:rPr>
          <w:rFonts w:ascii="宋体" w:hAnsi="宋体"/>
          <w:b/>
          <w:bCs/>
          <w:sz w:val="24"/>
          <w:highlight w:val="none"/>
        </w:rPr>
      </w:pPr>
      <w:r>
        <w:rPr>
          <w:rFonts w:hint="eastAsia" w:ascii="宋体" w:hAnsi="宋体"/>
          <w:b/>
          <w:bCs/>
          <w:sz w:val="24"/>
          <w:highlight w:val="none"/>
          <w:lang w:eastAsia="zh-CN"/>
        </w:rPr>
        <w:t>十九</w:t>
      </w:r>
      <w:r>
        <w:rPr>
          <w:rFonts w:hint="eastAsia" w:ascii="宋体" w:hAnsi="宋体"/>
          <w:b/>
          <w:bCs/>
          <w:sz w:val="24"/>
          <w:highlight w:val="none"/>
        </w:rPr>
        <w:t>、</w:t>
      </w:r>
      <w:r>
        <w:rPr>
          <w:rFonts w:hint="eastAsia"/>
          <w:b/>
          <w:sz w:val="24"/>
          <w:szCs w:val="24"/>
          <w:highlight w:val="none"/>
        </w:rPr>
        <w:t>确定成交供应商的原则</w:t>
      </w:r>
    </w:p>
    <w:p>
      <w:pPr>
        <w:snapToGrid w:val="0"/>
        <w:spacing w:line="360" w:lineRule="auto"/>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1、磋商小组依据评审方法和原则确定成交供应商。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2、如供应商对成交结果有异议，请当场以书面形式提出，由磋商小组以书面形式进行回复，其他任何形式的回复无效。</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4、成交公告和成交通知书</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代理机构负责发布成交公告，同时向成交供应商发出《成交通知书》，《成交通知书》是《合同》的一个组成部分。</w:t>
      </w:r>
    </w:p>
    <w:p>
      <w:pPr>
        <w:snapToGrid w:val="0"/>
        <w:spacing w:line="360" w:lineRule="auto"/>
        <w:rPr>
          <w:rFonts w:ascii="宋体" w:hAnsi="宋体"/>
          <w:b/>
          <w:bCs/>
          <w:sz w:val="24"/>
          <w:highlight w:val="none"/>
        </w:rPr>
      </w:pPr>
      <w:r>
        <w:rPr>
          <w:rFonts w:hint="eastAsia" w:ascii="宋体" w:hAnsi="宋体"/>
          <w:b/>
          <w:bCs/>
          <w:sz w:val="24"/>
          <w:highlight w:val="none"/>
        </w:rPr>
        <w:t>二十、合同的签订</w:t>
      </w:r>
    </w:p>
    <w:p>
      <w:pPr>
        <w:pStyle w:val="17"/>
        <w:spacing w:before="0" w:beforeAutospacing="0" w:after="0" w:afterAutospacing="0" w:line="360" w:lineRule="auto"/>
        <w:ind w:firstLine="424" w:firstLineChars="200"/>
        <w:rPr>
          <w:sz w:val="21"/>
          <w:szCs w:val="21"/>
          <w:highlight w:val="none"/>
        </w:rPr>
      </w:pPr>
      <w:r>
        <w:rPr>
          <w:rFonts w:hint="eastAsia"/>
          <w:sz w:val="21"/>
          <w:szCs w:val="21"/>
          <w:highlight w:val="none"/>
        </w:rPr>
        <w:t>（一）成交供应商应按《成交通知书》规定的时间与采购人签订采购合同，所签订的合同不得对竞争性磋商文件和成交供应商响应文件作实质性修改；</w:t>
      </w:r>
    </w:p>
    <w:p>
      <w:pPr>
        <w:pStyle w:val="17"/>
        <w:spacing w:before="0" w:beforeAutospacing="0" w:after="0" w:afterAutospacing="0" w:line="360" w:lineRule="auto"/>
        <w:rPr>
          <w:sz w:val="21"/>
          <w:szCs w:val="21"/>
          <w:highlight w:val="none"/>
        </w:rPr>
      </w:pPr>
      <w:r>
        <w:rPr>
          <w:rFonts w:hint="eastAsia"/>
          <w:sz w:val="21"/>
          <w:szCs w:val="21"/>
          <w:highlight w:val="none"/>
        </w:rPr>
        <w:t xml:space="preserve">    （二）采购人不得向成交人提出任何不合理的要求，作为签订合同的条件，不得与成交人私下订立违背合同实质性内容的协议；</w:t>
      </w:r>
    </w:p>
    <w:p>
      <w:pPr>
        <w:pStyle w:val="17"/>
        <w:spacing w:before="0" w:beforeAutospacing="0" w:after="0" w:afterAutospacing="0" w:line="360" w:lineRule="auto"/>
        <w:ind w:firstLine="424" w:firstLineChars="200"/>
        <w:rPr>
          <w:sz w:val="21"/>
          <w:szCs w:val="21"/>
          <w:highlight w:val="none"/>
        </w:rPr>
      </w:pPr>
      <w:r>
        <w:rPr>
          <w:rFonts w:hint="eastAsia"/>
          <w:sz w:val="21"/>
          <w:szCs w:val="21"/>
          <w:highlight w:val="none"/>
        </w:rPr>
        <w:t>（三）竞争性磋商文件、成交供应商响应文件及评审过程中有关澄清文件均为合同的必要组成部分，与合同具有同等法律效力；</w:t>
      </w:r>
    </w:p>
    <w:p>
      <w:pPr>
        <w:pStyle w:val="17"/>
        <w:spacing w:before="0" w:beforeAutospacing="0" w:after="0" w:afterAutospacing="0" w:line="360" w:lineRule="auto"/>
        <w:ind w:firstLine="424" w:firstLineChars="200"/>
        <w:rPr>
          <w:sz w:val="21"/>
          <w:szCs w:val="21"/>
          <w:highlight w:val="none"/>
        </w:rPr>
      </w:pPr>
      <w:r>
        <w:rPr>
          <w:rFonts w:hint="eastAsia"/>
          <w:sz w:val="21"/>
          <w:szCs w:val="21"/>
          <w:highlight w:val="none"/>
        </w:rPr>
        <w:t>（四）采购人负责合同的审核、签订、履约及验收工作，相关监管部门负责对合同签订、合同履约及验收进行监督检查。</w:t>
      </w:r>
    </w:p>
    <w:p>
      <w:pPr>
        <w:snapToGrid w:val="0"/>
        <w:spacing w:line="360" w:lineRule="auto"/>
        <w:rPr>
          <w:rFonts w:ascii="宋体" w:hAnsi="宋体"/>
          <w:b/>
          <w:sz w:val="24"/>
          <w:highlight w:val="none"/>
        </w:rPr>
      </w:pPr>
      <w:r>
        <w:rPr>
          <w:rFonts w:hint="eastAsia" w:ascii="宋体" w:hAnsi="宋体"/>
          <w:b/>
          <w:sz w:val="24"/>
          <w:highlight w:val="none"/>
        </w:rPr>
        <w:t>二十</w:t>
      </w:r>
      <w:r>
        <w:rPr>
          <w:rFonts w:hint="eastAsia" w:ascii="宋体" w:hAnsi="宋体"/>
          <w:b/>
          <w:sz w:val="24"/>
          <w:highlight w:val="none"/>
          <w:lang w:eastAsia="zh-CN"/>
        </w:rPr>
        <w:t>一</w:t>
      </w:r>
      <w:r>
        <w:rPr>
          <w:rFonts w:hint="eastAsia" w:ascii="宋体" w:hAnsi="宋体"/>
          <w:b/>
          <w:sz w:val="24"/>
          <w:highlight w:val="none"/>
        </w:rPr>
        <w:t>、履约金</w:t>
      </w:r>
    </w:p>
    <w:p>
      <w:pPr>
        <w:autoSpaceDE w:val="0"/>
        <w:autoSpaceDN w:val="0"/>
        <w:adjustRightInd w:val="0"/>
        <w:spacing w:line="360" w:lineRule="auto"/>
        <w:ind w:firstLine="424"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成交供应商签订合同前，应按合同金额的</w:t>
      </w:r>
      <w:r>
        <w:rPr>
          <w:rFonts w:hint="eastAsia" w:ascii="宋体" w:hAnsi="宋体" w:eastAsia="宋体" w:cs="宋体"/>
          <w:szCs w:val="21"/>
          <w:highlight w:val="none"/>
        </w:rPr>
        <w:t>10%</w:t>
      </w:r>
      <w:r>
        <w:rPr>
          <w:rFonts w:hint="eastAsia" w:ascii="宋体" w:hAnsi="宋体" w:eastAsia="宋体" w:cs="宋体"/>
          <w:szCs w:val="21"/>
          <w:highlight w:val="none"/>
          <w:lang w:val="zh-CN"/>
        </w:rPr>
        <w:t>向采购人提交履约保证金，合同履约验收合格后</w:t>
      </w:r>
      <w:r>
        <w:rPr>
          <w:rFonts w:hint="eastAsia" w:ascii="宋体" w:hAnsi="宋体" w:eastAsia="宋体" w:cs="宋体"/>
          <w:szCs w:val="21"/>
          <w:highlight w:val="none"/>
        </w:rPr>
        <w:t>5</w:t>
      </w:r>
      <w:r>
        <w:rPr>
          <w:rFonts w:hint="eastAsia" w:ascii="宋体" w:hAnsi="宋体" w:eastAsia="宋体" w:cs="宋体"/>
          <w:szCs w:val="21"/>
          <w:highlight w:val="none"/>
          <w:lang w:val="zh-CN"/>
        </w:rPr>
        <w:t>个工作日内退还。</w:t>
      </w:r>
    </w:p>
    <w:p>
      <w:pPr>
        <w:snapToGrid w:val="0"/>
        <w:spacing w:line="360" w:lineRule="auto"/>
        <w:rPr>
          <w:rFonts w:ascii="宋体" w:hAnsi="宋体" w:cs="宋体"/>
          <w:b/>
          <w:sz w:val="24"/>
          <w:highlight w:val="none"/>
        </w:rPr>
      </w:pPr>
      <w:r>
        <w:rPr>
          <w:rFonts w:hint="eastAsia" w:ascii="宋体" w:hAnsi="宋体"/>
          <w:b/>
          <w:sz w:val="24"/>
          <w:highlight w:val="none"/>
        </w:rPr>
        <w:t>二十</w:t>
      </w:r>
      <w:r>
        <w:rPr>
          <w:rFonts w:hint="eastAsia" w:ascii="宋体" w:hAnsi="宋体"/>
          <w:b/>
          <w:sz w:val="24"/>
          <w:highlight w:val="none"/>
          <w:lang w:eastAsia="zh-CN"/>
        </w:rPr>
        <w:t>二</w:t>
      </w:r>
      <w:r>
        <w:rPr>
          <w:rFonts w:hint="eastAsia" w:ascii="宋体" w:hAnsi="宋体"/>
          <w:b/>
          <w:sz w:val="24"/>
          <w:highlight w:val="none"/>
        </w:rPr>
        <w:t>、</w:t>
      </w:r>
      <w:r>
        <w:rPr>
          <w:rFonts w:hint="eastAsia" w:ascii="宋体" w:hAnsi="宋体" w:cs="宋体"/>
          <w:b/>
          <w:sz w:val="24"/>
          <w:highlight w:val="none"/>
        </w:rPr>
        <w:t>资金结算</w:t>
      </w:r>
    </w:p>
    <w:p>
      <w:pPr>
        <w:spacing w:line="360" w:lineRule="auto"/>
        <w:ind w:firstLine="424" w:firstLineChars="200"/>
        <w:rPr>
          <w:rFonts w:ascii="宋体" w:hAnsi="宋体" w:cs="宋体"/>
          <w:szCs w:val="21"/>
          <w:highlight w:val="none"/>
        </w:rPr>
      </w:pPr>
      <w:r>
        <w:rPr>
          <w:rFonts w:hint="eastAsia" w:ascii="宋体" w:hAnsi="宋体"/>
          <w:bCs/>
          <w:szCs w:val="21"/>
          <w:highlight w:val="none"/>
        </w:rPr>
        <w:t>付款方式：</w:t>
      </w:r>
      <w:r>
        <w:rPr>
          <w:rFonts w:hint="eastAsia" w:ascii="宋体" w:hAnsi="宋体" w:cs="微软雅黑"/>
          <w:kern w:val="0"/>
          <w:szCs w:val="21"/>
          <w:highlight w:val="none"/>
        </w:rPr>
        <w:t>参照合同执行</w:t>
      </w:r>
      <w:r>
        <w:rPr>
          <w:rFonts w:hint="eastAsia" w:ascii="宋体" w:hAnsi="宋体"/>
          <w:bCs/>
          <w:szCs w:val="21"/>
          <w:highlight w:val="none"/>
        </w:rPr>
        <w:t>。</w:t>
      </w:r>
    </w:p>
    <w:p>
      <w:pPr>
        <w:snapToGrid w:val="0"/>
        <w:spacing w:line="360" w:lineRule="auto"/>
        <w:ind w:firstLine="527" w:firstLineChars="218"/>
        <w:rPr>
          <w:rFonts w:ascii="宋体" w:hAnsi="宋体"/>
          <w:sz w:val="24"/>
          <w:highlight w:val="none"/>
        </w:rPr>
      </w:pPr>
    </w:p>
    <w:p>
      <w:pPr>
        <w:snapToGrid w:val="0"/>
        <w:spacing w:line="360" w:lineRule="auto"/>
        <w:jc w:val="center"/>
        <w:outlineLvl w:val="0"/>
        <w:rPr>
          <w:rFonts w:eastAsia="黑体"/>
          <w:sz w:val="36"/>
          <w:highlight w:val="none"/>
        </w:rPr>
      </w:pPr>
      <w:r>
        <w:rPr>
          <w:rFonts w:eastAsia="仿宋_GB2312"/>
          <w:sz w:val="36"/>
          <w:highlight w:val="none"/>
        </w:rPr>
        <w:br w:type="page"/>
      </w:r>
      <w:bookmarkStart w:id="54" w:name="_Toc26551"/>
      <w:bookmarkStart w:id="55" w:name="_Toc234"/>
      <w:r>
        <w:rPr>
          <w:rFonts w:eastAsia="黑体"/>
          <w:sz w:val="36"/>
          <w:highlight w:val="none"/>
        </w:rPr>
        <w:t>第三部分  货物清单及技术参数</w:t>
      </w:r>
      <w:r>
        <w:rPr>
          <w:rFonts w:hint="eastAsia" w:eastAsia="黑体"/>
          <w:sz w:val="36"/>
          <w:highlight w:val="none"/>
        </w:rPr>
        <w:t>或服务要求</w:t>
      </w:r>
      <w:bookmarkEnd w:id="54"/>
      <w:bookmarkEnd w:id="55"/>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rPr>
      </w:pPr>
      <w:r>
        <w:rPr>
          <w:rFonts w:hint="eastAsia" w:ascii="宋体" w:hAnsi="宋体" w:eastAsia="宋体" w:cs="宋体"/>
          <w:szCs w:val="21"/>
        </w:rPr>
        <w:t>一、采购内容</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rPr>
      </w:pPr>
      <w:r>
        <w:rPr>
          <w:rFonts w:hint="eastAsia" w:ascii="宋体" w:hAnsi="宋体" w:eastAsia="宋体" w:cs="宋体"/>
          <w:szCs w:val="21"/>
        </w:rPr>
        <w:t>2020级新生代购被品约4140套（预算金额350.00元/套，合计144.9万元，具体</w:t>
      </w:r>
      <w:r>
        <w:rPr>
          <w:rFonts w:hint="eastAsia" w:ascii="宋体" w:hAnsi="宋体" w:eastAsia="宋体" w:cs="宋体"/>
          <w:szCs w:val="21"/>
          <w:highlight w:val="none"/>
          <w:lang w:eastAsia="zh-CN"/>
        </w:rPr>
        <w:t>成交</w:t>
      </w:r>
      <w:r>
        <w:rPr>
          <w:rFonts w:hint="eastAsia" w:ascii="宋体" w:hAnsi="宋体" w:eastAsia="宋体" w:cs="宋体"/>
          <w:szCs w:val="21"/>
        </w:rPr>
        <w:t>数量以学生实际购买数量为准）。每套含棉被胎1个，棉褥胎1个，被里1个，褥里1个，被罩2个，床单2个，枕套2个，枕芯1个；须按采购人要求在规定日期内将货物运送到指定地点并装柜上锁（锁具由供货方配备）；迎新期间在采购人指定地点（十个公寓）设置现场销售点；所有被品按学生需求提供正规票据。</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szCs w:val="21"/>
        </w:rPr>
      </w:pPr>
      <w:r>
        <w:rPr>
          <w:rFonts w:hint="eastAsia" w:ascii="宋体" w:hAnsi="宋体" w:eastAsia="宋体" w:cs="宋体"/>
          <w:szCs w:val="21"/>
        </w:rPr>
        <w:t>二、主要性能指标及技术参数</w:t>
      </w:r>
    </w:p>
    <w:tbl>
      <w:tblPr>
        <w:tblStyle w:val="19"/>
        <w:tblpPr w:leftFromText="180" w:rightFromText="180" w:vertAnchor="text" w:horzAnchor="margin" w:tblpXSpec="center" w:tblpY="157"/>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8"/>
        <w:gridCol w:w="1908"/>
        <w:gridCol w:w="2160"/>
        <w:gridCol w:w="1562"/>
        <w:gridCol w:w="766"/>
        <w:gridCol w:w="769"/>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498" w:type="pct"/>
            <w:vMerge w:val="restart"/>
            <w:vAlign w:val="center"/>
          </w:tcPr>
          <w:p>
            <w:pPr>
              <w:jc w:val="center"/>
              <w:rPr>
                <w:rFonts w:ascii="宋体" w:hAnsi="宋体" w:eastAsia="宋体" w:cs="宋体"/>
                <w:b/>
                <w:bCs/>
                <w:szCs w:val="21"/>
              </w:rPr>
            </w:pPr>
            <w:bookmarkStart w:id="56" w:name="table_bs"/>
            <w:r>
              <w:rPr>
                <w:rFonts w:hint="eastAsia" w:ascii="宋体" w:hAnsi="宋体" w:eastAsia="宋体" w:cs="宋体"/>
                <w:b/>
                <w:bCs/>
                <w:szCs w:val="21"/>
              </w:rPr>
              <w:t>产品</w:t>
            </w:r>
          </w:p>
          <w:p>
            <w:pPr>
              <w:jc w:val="center"/>
              <w:rPr>
                <w:rFonts w:ascii="宋体" w:hAnsi="宋体" w:eastAsia="宋体" w:cs="宋体"/>
                <w:b/>
                <w:bCs/>
                <w:szCs w:val="21"/>
              </w:rPr>
            </w:pPr>
            <w:r>
              <w:rPr>
                <w:rFonts w:hint="eastAsia" w:ascii="宋体" w:hAnsi="宋体" w:eastAsia="宋体" w:cs="宋体"/>
                <w:b/>
                <w:bCs/>
                <w:szCs w:val="21"/>
              </w:rPr>
              <w:t>名称</w:t>
            </w:r>
          </w:p>
        </w:tc>
        <w:tc>
          <w:tcPr>
            <w:tcW w:w="2279" w:type="pct"/>
            <w:gridSpan w:val="2"/>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kern w:val="0"/>
                <w:szCs w:val="21"/>
              </w:rPr>
              <w:t>规格：重量（g）-长（mm）×宽（mm）</w:t>
            </w:r>
          </w:p>
        </w:tc>
        <w:tc>
          <w:tcPr>
            <w:tcW w:w="875" w:type="pct"/>
            <w:vMerge w:val="restart"/>
            <w:vAlign w:val="center"/>
          </w:tcPr>
          <w:p>
            <w:pPr>
              <w:widowControl/>
              <w:ind w:firstLine="366"/>
              <w:jc w:val="center"/>
              <w:rPr>
                <w:rFonts w:ascii="宋体" w:hAnsi="宋体" w:eastAsia="宋体" w:cs="宋体"/>
                <w:b/>
                <w:kern w:val="0"/>
                <w:szCs w:val="21"/>
              </w:rPr>
            </w:pPr>
            <w:r>
              <w:rPr>
                <w:rFonts w:hint="eastAsia" w:ascii="宋体" w:hAnsi="宋体" w:eastAsia="宋体" w:cs="宋体"/>
                <w:b/>
                <w:kern w:val="0"/>
                <w:szCs w:val="21"/>
              </w:rPr>
              <w:t>纤维成份</w:t>
            </w:r>
          </w:p>
          <w:p>
            <w:pPr>
              <w:ind w:firstLine="366"/>
              <w:jc w:val="center"/>
              <w:rPr>
                <w:rFonts w:ascii="宋体" w:hAnsi="宋体" w:eastAsia="宋体" w:cs="宋体"/>
                <w:b/>
                <w:szCs w:val="21"/>
              </w:rPr>
            </w:pPr>
            <w:r>
              <w:rPr>
                <w:rFonts w:hint="eastAsia" w:ascii="宋体" w:hAnsi="宋体" w:eastAsia="宋体" w:cs="宋体"/>
                <w:b/>
                <w:kern w:val="0"/>
                <w:szCs w:val="21"/>
              </w:rPr>
              <w:t>（含量）</w:t>
            </w:r>
          </w:p>
        </w:tc>
        <w:tc>
          <w:tcPr>
            <w:tcW w:w="860" w:type="pct"/>
            <w:gridSpan w:val="2"/>
            <w:tcBorders>
              <w:bottom w:val="single" w:color="auto" w:sz="4" w:space="0"/>
            </w:tcBorders>
            <w:vAlign w:val="center"/>
          </w:tcPr>
          <w:p>
            <w:pPr>
              <w:ind w:firstLine="212" w:firstLineChars="100"/>
              <w:jc w:val="center"/>
              <w:rPr>
                <w:rFonts w:ascii="宋体" w:hAnsi="宋体" w:eastAsia="宋体" w:cs="宋体"/>
                <w:b/>
                <w:szCs w:val="21"/>
              </w:rPr>
            </w:pPr>
            <w:r>
              <w:rPr>
                <w:rFonts w:hint="eastAsia" w:ascii="宋体" w:hAnsi="宋体" w:eastAsia="宋体" w:cs="宋体"/>
                <w:b/>
                <w:kern w:val="0"/>
                <w:szCs w:val="21"/>
              </w:rPr>
              <w:t>数量(件)</w:t>
            </w:r>
          </w:p>
        </w:tc>
        <w:tc>
          <w:tcPr>
            <w:tcW w:w="485" w:type="pct"/>
            <w:vAlign w:val="center"/>
          </w:tcPr>
          <w:p>
            <w:pPr>
              <w:ind w:firstLine="106" w:firstLineChars="50"/>
              <w:jc w:val="center"/>
              <w:rPr>
                <w:rFonts w:ascii="宋体" w:hAnsi="宋体" w:eastAsia="宋体" w:cs="宋体"/>
                <w:b/>
                <w:szCs w:val="21"/>
              </w:rPr>
            </w:pPr>
            <w:r>
              <w:rPr>
                <w:rFonts w:hint="eastAsia" w:ascii="宋体" w:hAnsi="宋体" w:eastAsia="宋体" w:cs="宋体"/>
                <w:b/>
                <w:kern w:val="0"/>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498" w:type="pct"/>
            <w:vMerge w:val="continue"/>
            <w:vAlign w:val="center"/>
          </w:tcPr>
          <w:p>
            <w:pPr>
              <w:ind w:firstLine="366"/>
              <w:jc w:val="center"/>
              <w:rPr>
                <w:rFonts w:ascii="宋体" w:hAnsi="宋体" w:eastAsia="宋体" w:cs="宋体"/>
                <w:b/>
                <w:bCs/>
                <w:szCs w:val="21"/>
              </w:rPr>
            </w:pPr>
          </w:p>
        </w:tc>
        <w:tc>
          <w:tcPr>
            <w:tcW w:w="1069" w:type="pct"/>
            <w:tcBorders>
              <w:top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kern w:val="0"/>
                <w:szCs w:val="21"/>
              </w:rPr>
              <w:t>正常规格</w:t>
            </w:r>
          </w:p>
        </w:tc>
        <w:tc>
          <w:tcPr>
            <w:tcW w:w="1210" w:type="pct"/>
            <w:tcBorders>
              <w:top w:val="single" w:color="auto" w:sz="4" w:space="0"/>
              <w:left w:val="single" w:color="auto" w:sz="4" w:space="0"/>
              <w:right w:val="single" w:color="auto" w:sz="4" w:space="0"/>
            </w:tcBorders>
            <w:vAlign w:val="center"/>
          </w:tcPr>
          <w:p>
            <w:pPr>
              <w:ind w:firstLine="336" w:firstLineChars="159"/>
              <w:jc w:val="center"/>
              <w:rPr>
                <w:rFonts w:ascii="宋体" w:hAnsi="宋体" w:eastAsia="宋体" w:cs="宋体"/>
                <w:b/>
                <w:szCs w:val="21"/>
              </w:rPr>
            </w:pPr>
            <w:r>
              <w:rPr>
                <w:rFonts w:hint="eastAsia" w:ascii="宋体" w:hAnsi="宋体" w:eastAsia="宋体" w:cs="宋体"/>
                <w:b/>
                <w:kern w:val="0"/>
                <w:szCs w:val="21"/>
              </w:rPr>
              <w:t>加长规格</w:t>
            </w:r>
          </w:p>
        </w:tc>
        <w:tc>
          <w:tcPr>
            <w:tcW w:w="875" w:type="pct"/>
            <w:vMerge w:val="continue"/>
            <w:tcBorders>
              <w:left w:val="single" w:color="auto" w:sz="4" w:space="0"/>
            </w:tcBorders>
            <w:vAlign w:val="center"/>
          </w:tcPr>
          <w:p>
            <w:pPr>
              <w:ind w:firstLine="365"/>
              <w:jc w:val="center"/>
              <w:rPr>
                <w:rFonts w:ascii="宋体" w:hAnsi="宋体" w:eastAsia="宋体" w:cs="宋体"/>
                <w:szCs w:val="21"/>
              </w:rPr>
            </w:pPr>
          </w:p>
        </w:tc>
        <w:tc>
          <w:tcPr>
            <w:tcW w:w="429" w:type="pct"/>
            <w:tcBorders>
              <w:top w:val="single" w:color="auto" w:sz="4" w:space="0"/>
              <w:right w:val="single" w:color="auto" w:sz="4" w:space="0"/>
            </w:tcBorders>
            <w:vAlign w:val="center"/>
          </w:tcPr>
          <w:p>
            <w:pPr>
              <w:widowControl/>
              <w:ind w:firstLine="102" w:firstLineChars="49"/>
              <w:jc w:val="center"/>
              <w:rPr>
                <w:rFonts w:ascii="宋体" w:hAnsi="宋体" w:eastAsia="宋体" w:cs="宋体"/>
                <w:b/>
                <w:kern w:val="0"/>
                <w:szCs w:val="21"/>
              </w:rPr>
            </w:pPr>
            <w:r>
              <w:rPr>
                <w:rFonts w:hint="eastAsia" w:ascii="宋体" w:hAnsi="宋体" w:eastAsia="宋体" w:cs="宋体"/>
                <w:b/>
                <w:kern w:val="0"/>
                <w:szCs w:val="21"/>
              </w:rPr>
              <w:t>正常</w:t>
            </w:r>
          </w:p>
        </w:tc>
        <w:tc>
          <w:tcPr>
            <w:tcW w:w="431" w:type="pct"/>
            <w:tcBorders>
              <w:top w:val="single" w:color="auto" w:sz="4" w:space="0"/>
              <w:left w:val="single" w:color="auto" w:sz="4" w:space="0"/>
            </w:tcBorders>
            <w:vAlign w:val="center"/>
          </w:tcPr>
          <w:p>
            <w:pPr>
              <w:widowControl/>
              <w:ind w:firstLine="102" w:firstLineChars="49"/>
              <w:jc w:val="center"/>
              <w:rPr>
                <w:rFonts w:ascii="宋体" w:hAnsi="宋体" w:eastAsia="宋体" w:cs="宋体"/>
                <w:b/>
                <w:kern w:val="0"/>
                <w:szCs w:val="21"/>
              </w:rPr>
            </w:pPr>
            <w:r>
              <w:rPr>
                <w:rFonts w:hint="eastAsia" w:ascii="宋体" w:hAnsi="宋体" w:eastAsia="宋体" w:cs="宋体"/>
                <w:b/>
                <w:kern w:val="0"/>
                <w:szCs w:val="21"/>
              </w:rPr>
              <w:t>加长</w:t>
            </w:r>
          </w:p>
        </w:tc>
        <w:tc>
          <w:tcPr>
            <w:tcW w:w="485" w:type="pct"/>
            <w:vAlign w:val="center"/>
          </w:tcPr>
          <w:p>
            <w:pPr>
              <w:ind w:firstLine="365"/>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498"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棉被胎</w:t>
            </w:r>
          </w:p>
        </w:tc>
        <w:tc>
          <w:tcPr>
            <w:tcW w:w="1069" w:type="pct"/>
            <w:tcBorders>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2500-2100×1500</w:t>
            </w:r>
          </w:p>
        </w:tc>
        <w:tc>
          <w:tcPr>
            <w:tcW w:w="1210" w:type="pct"/>
            <w:tcBorders>
              <w:left w:val="single" w:color="auto" w:sz="4" w:space="0"/>
              <w:right w:val="single" w:color="auto" w:sz="4" w:space="0"/>
            </w:tcBorders>
            <w:vAlign w:val="center"/>
          </w:tcPr>
          <w:p>
            <w:pPr>
              <w:widowControl/>
              <w:ind w:firstLine="230" w:firstLineChars="109"/>
              <w:jc w:val="center"/>
              <w:rPr>
                <w:rFonts w:ascii="宋体" w:hAnsi="宋体" w:eastAsia="宋体" w:cs="宋体"/>
                <w:kern w:val="0"/>
                <w:szCs w:val="21"/>
              </w:rPr>
            </w:pPr>
            <w:r>
              <w:rPr>
                <w:rFonts w:hint="eastAsia" w:ascii="宋体" w:hAnsi="宋体" w:eastAsia="宋体" w:cs="宋体"/>
                <w:kern w:val="0"/>
                <w:szCs w:val="21"/>
              </w:rPr>
              <w:t>3000-2400×1500</w:t>
            </w:r>
          </w:p>
        </w:tc>
        <w:tc>
          <w:tcPr>
            <w:tcW w:w="875" w:type="pct"/>
            <w:tcBorders>
              <w:lef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vAlign w:val="center"/>
          </w:tcPr>
          <w:p>
            <w:pPr>
              <w:jc w:val="center"/>
              <w:rPr>
                <w:rFonts w:ascii="宋体" w:hAnsi="宋体" w:eastAsia="宋体" w:cs="宋体"/>
                <w:szCs w:val="21"/>
              </w:rPr>
            </w:pPr>
            <w:r>
              <w:rPr>
                <w:rFonts w:hint="eastAsia" w:ascii="宋体" w:hAnsi="宋体" w:eastAsia="宋体" w:cs="宋体"/>
                <w:szCs w:val="21"/>
              </w:rPr>
              <w:t>4000</w:t>
            </w:r>
          </w:p>
        </w:tc>
        <w:tc>
          <w:tcPr>
            <w:tcW w:w="431" w:type="pct"/>
            <w:vAlign w:val="center"/>
          </w:tcPr>
          <w:p>
            <w:pPr>
              <w:jc w:val="center"/>
              <w:rPr>
                <w:rFonts w:ascii="宋体" w:hAnsi="宋体" w:eastAsia="宋体" w:cs="宋体"/>
                <w:szCs w:val="21"/>
              </w:rPr>
            </w:pPr>
            <w:r>
              <w:rPr>
                <w:rFonts w:hint="eastAsia" w:ascii="宋体" w:hAnsi="宋体" w:eastAsia="宋体" w:cs="宋体"/>
                <w:szCs w:val="21"/>
              </w:rPr>
              <w:t>140</w:t>
            </w:r>
          </w:p>
        </w:tc>
        <w:tc>
          <w:tcPr>
            <w:tcW w:w="485" w:type="pct"/>
            <w:vAlign w:val="center"/>
          </w:tcPr>
          <w:p>
            <w:pPr>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棉褥胎</w:t>
            </w:r>
          </w:p>
        </w:tc>
        <w:tc>
          <w:tcPr>
            <w:tcW w:w="1069" w:type="pct"/>
            <w:tcBorders>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2000-2000×1000</w:t>
            </w:r>
          </w:p>
        </w:tc>
        <w:tc>
          <w:tcPr>
            <w:tcW w:w="1210" w:type="pct"/>
            <w:tcBorders>
              <w:left w:val="single" w:color="auto" w:sz="4" w:space="0"/>
              <w:right w:val="single" w:color="auto" w:sz="4" w:space="0"/>
            </w:tcBorders>
            <w:vAlign w:val="center"/>
          </w:tcPr>
          <w:p>
            <w:pPr>
              <w:widowControl/>
              <w:ind w:firstLine="230" w:firstLineChars="109"/>
              <w:jc w:val="center"/>
              <w:rPr>
                <w:rFonts w:ascii="宋体" w:hAnsi="宋体" w:eastAsia="宋体" w:cs="宋体"/>
                <w:kern w:val="0"/>
                <w:szCs w:val="21"/>
              </w:rPr>
            </w:pPr>
            <w:r>
              <w:rPr>
                <w:rFonts w:hint="eastAsia" w:ascii="宋体" w:hAnsi="宋体" w:eastAsia="宋体" w:cs="宋体"/>
                <w:kern w:val="0"/>
                <w:szCs w:val="21"/>
              </w:rPr>
              <w:t>2250-2100×1000</w:t>
            </w:r>
          </w:p>
        </w:tc>
        <w:tc>
          <w:tcPr>
            <w:tcW w:w="875" w:type="pct"/>
            <w:tcBorders>
              <w:lef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vAlign w:val="center"/>
          </w:tcPr>
          <w:p>
            <w:pPr>
              <w:jc w:val="center"/>
              <w:rPr>
                <w:rFonts w:ascii="宋体" w:hAnsi="宋体" w:eastAsia="宋体" w:cs="宋体"/>
                <w:szCs w:val="21"/>
              </w:rPr>
            </w:pPr>
            <w:r>
              <w:rPr>
                <w:rFonts w:hint="eastAsia" w:ascii="宋体" w:hAnsi="宋体" w:eastAsia="宋体" w:cs="宋体"/>
                <w:kern w:val="0"/>
                <w:szCs w:val="21"/>
              </w:rPr>
              <w:t>4000</w:t>
            </w:r>
          </w:p>
        </w:tc>
        <w:tc>
          <w:tcPr>
            <w:tcW w:w="431" w:type="pct"/>
            <w:vAlign w:val="center"/>
          </w:tcPr>
          <w:p>
            <w:pPr>
              <w:jc w:val="center"/>
              <w:rPr>
                <w:rFonts w:ascii="宋体" w:hAnsi="宋体" w:eastAsia="宋体" w:cs="宋体"/>
                <w:szCs w:val="21"/>
              </w:rPr>
            </w:pPr>
            <w:r>
              <w:rPr>
                <w:rFonts w:hint="eastAsia" w:ascii="宋体" w:hAnsi="宋体" w:eastAsia="宋体" w:cs="宋体"/>
                <w:szCs w:val="21"/>
              </w:rPr>
              <w:t>140</w:t>
            </w:r>
          </w:p>
        </w:tc>
        <w:tc>
          <w:tcPr>
            <w:tcW w:w="485" w:type="pct"/>
            <w:vAlign w:val="center"/>
          </w:tcPr>
          <w:p>
            <w:pPr>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498"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被里</w:t>
            </w:r>
          </w:p>
        </w:tc>
        <w:tc>
          <w:tcPr>
            <w:tcW w:w="1069" w:type="pct"/>
            <w:tcBorders>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2150×1550</w:t>
            </w:r>
          </w:p>
        </w:tc>
        <w:tc>
          <w:tcPr>
            <w:tcW w:w="1210" w:type="pct"/>
            <w:tcBorders>
              <w:left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2450×1550</w:t>
            </w:r>
          </w:p>
        </w:tc>
        <w:tc>
          <w:tcPr>
            <w:tcW w:w="875" w:type="pct"/>
            <w:tcBorders>
              <w:lef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vAlign w:val="center"/>
          </w:tcPr>
          <w:p>
            <w:pPr>
              <w:jc w:val="center"/>
              <w:rPr>
                <w:rFonts w:ascii="宋体" w:hAnsi="宋体" w:eastAsia="宋体" w:cs="宋体"/>
                <w:szCs w:val="21"/>
              </w:rPr>
            </w:pPr>
            <w:r>
              <w:rPr>
                <w:rFonts w:hint="eastAsia" w:ascii="宋体" w:hAnsi="宋体" w:eastAsia="宋体" w:cs="宋体"/>
                <w:kern w:val="0"/>
                <w:szCs w:val="21"/>
              </w:rPr>
              <w:t>4000</w:t>
            </w:r>
          </w:p>
        </w:tc>
        <w:tc>
          <w:tcPr>
            <w:tcW w:w="431" w:type="pct"/>
            <w:vAlign w:val="center"/>
          </w:tcPr>
          <w:p>
            <w:pPr>
              <w:jc w:val="center"/>
              <w:rPr>
                <w:rFonts w:ascii="宋体" w:hAnsi="宋体" w:eastAsia="宋体" w:cs="宋体"/>
                <w:szCs w:val="21"/>
              </w:rPr>
            </w:pPr>
            <w:r>
              <w:rPr>
                <w:rFonts w:hint="eastAsia" w:ascii="宋体" w:hAnsi="宋体" w:eastAsia="宋体" w:cs="宋体"/>
                <w:szCs w:val="21"/>
              </w:rPr>
              <w:t>140</w:t>
            </w:r>
          </w:p>
        </w:tc>
        <w:tc>
          <w:tcPr>
            <w:tcW w:w="485" w:type="pct"/>
            <w:vAlign w:val="center"/>
          </w:tcPr>
          <w:p>
            <w:pPr>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褥里</w:t>
            </w:r>
          </w:p>
        </w:tc>
        <w:tc>
          <w:tcPr>
            <w:tcW w:w="1069" w:type="pct"/>
            <w:tcBorders>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050</w:t>
            </w:r>
            <w:r>
              <w:rPr>
                <w:rFonts w:hint="eastAsia" w:ascii="宋体" w:hAnsi="宋体" w:eastAsia="宋体" w:cs="宋体"/>
                <w:kern w:val="0"/>
                <w:szCs w:val="21"/>
              </w:rPr>
              <w:t>×1050</w:t>
            </w:r>
          </w:p>
        </w:tc>
        <w:tc>
          <w:tcPr>
            <w:tcW w:w="1210" w:type="pct"/>
            <w:tcBorders>
              <w:left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2150</w:t>
            </w:r>
            <w:r>
              <w:rPr>
                <w:rFonts w:hint="eastAsia" w:ascii="宋体" w:hAnsi="宋体" w:eastAsia="宋体" w:cs="宋体"/>
                <w:kern w:val="0"/>
                <w:szCs w:val="21"/>
              </w:rPr>
              <w:t>×</w:t>
            </w:r>
            <w:r>
              <w:rPr>
                <w:rFonts w:ascii="宋体" w:hAnsi="宋体" w:eastAsia="宋体" w:cs="宋体"/>
                <w:kern w:val="0"/>
                <w:szCs w:val="21"/>
              </w:rPr>
              <w:t>1050</w:t>
            </w:r>
          </w:p>
        </w:tc>
        <w:tc>
          <w:tcPr>
            <w:tcW w:w="875" w:type="pct"/>
            <w:tcBorders>
              <w:lef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vAlign w:val="center"/>
          </w:tcPr>
          <w:p>
            <w:pPr>
              <w:jc w:val="center"/>
              <w:rPr>
                <w:rFonts w:ascii="宋体" w:hAnsi="宋体" w:eastAsia="宋体" w:cs="宋体"/>
                <w:szCs w:val="21"/>
              </w:rPr>
            </w:pPr>
            <w:r>
              <w:rPr>
                <w:rFonts w:hint="eastAsia" w:ascii="宋体" w:hAnsi="宋体" w:eastAsia="宋体" w:cs="宋体"/>
                <w:kern w:val="0"/>
                <w:szCs w:val="21"/>
              </w:rPr>
              <w:t>4000</w:t>
            </w:r>
          </w:p>
        </w:tc>
        <w:tc>
          <w:tcPr>
            <w:tcW w:w="431" w:type="pct"/>
            <w:vAlign w:val="center"/>
          </w:tcPr>
          <w:p>
            <w:pPr>
              <w:jc w:val="center"/>
              <w:rPr>
                <w:rFonts w:ascii="宋体" w:hAnsi="宋体" w:eastAsia="宋体" w:cs="宋体"/>
                <w:szCs w:val="21"/>
              </w:rPr>
            </w:pPr>
            <w:r>
              <w:rPr>
                <w:rFonts w:hint="eastAsia" w:ascii="宋体" w:hAnsi="宋体" w:eastAsia="宋体" w:cs="宋体"/>
                <w:szCs w:val="21"/>
              </w:rPr>
              <w:t>140</w:t>
            </w:r>
          </w:p>
        </w:tc>
        <w:tc>
          <w:tcPr>
            <w:tcW w:w="485" w:type="pct"/>
            <w:vAlign w:val="center"/>
          </w:tcPr>
          <w:p>
            <w:pPr>
              <w:ind w:firstLine="365"/>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被罩</w:t>
            </w:r>
          </w:p>
        </w:tc>
        <w:tc>
          <w:tcPr>
            <w:tcW w:w="1069" w:type="pct"/>
            <w:tcBorders>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2200×1600</w:t>
            </w:r>
          </w:p>
        </w:tc>
        <w:tc>
          <w:tcPr>
            <w:tcW w:w="1210" w:type="pct"/>
            <w:tcBorders>
              <w:left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2500×1600</w:t>
            </w:r>
          </w:p>
        </w:tc>
        <w:tc>
          <w:tcPr>
            <w:tcW w:w="875" w:type="pct"/>
            <w:tcBorders>
              <w:lef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tcPr>
          <w:p>
            <w:pPr>
              <w:jc w:val="center"/>
              <w:rPr>
                <w:rFonts w:ascii="宋体" w:hAnsi="宋体" w:eastAsia="宋体" w:cs="宋体"/>
                <w:kern w:val="0"/>
                <w:szCs w:val="21"/>
              </w:rPr>
            </w:pPr>
            <w:r>
              <w:rPr>
                <w:rFonts w:hint="eastAsia" w:ascii="宋体" w:hAnsi="宋体" w:eastAsia="宋体" w:cs="宋体"/>
                <w:kern w:val="0"/>
                <w:szCs w:val="21"/>
              </w:rPr>
              <w:t>8000</w:t>
            </w:r>
          </w:p>
        </w:tc>
        <w:tc>
          <w:tcPr>
            <w:tcW w:w="431"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280</w:t>
            </w:r>
          </w:p>
        </w:tc>
        <w:tc>
          <w:tcPr>
            <w:tcW w:w="485"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印号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床单</w:t>
            </w:r>
          </w:p>
        </w:tc>
        <w:tc>
          <w:tcPr>
            <w:tcW w:w="1069" w:type="pct"/>
            <w:tcBorders>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2250×1200</w:t>
            </w:r>
          </w:p>
        </w:tc>
        <w:tc>
          <w:tcPr>
            <w:tcW w:w="1210" w:type="pct"/>
            <w:tcBorders>
              <w:left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2350×1200</w:t>
            </w:r>
          </w:p>
        </w:tc>
        <w:tc>
          <w:tcPr>
            <w:tcW w:w="875" w:type="pct"/>
            <w:tcBorders>
              <w:lef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tcPr>
          <w:p>
            <w:pPr>
              <w:jc w:val="center"/>
              <w:rPr>
                <w:rFonts w:ascii="宋体" w:hAnsi="宋体" w:eastAsia="宋体" w:cs="宋体"/>
                <w:kern w:val="0"/>
                <w:szCs w:val="21"/>
              </w:rPr>
            </w:pPr>
            <w:r>
              <w:rPr>
                <w:rFonts w:hint="eastAsia" w:ascii="宋体" w:hAnsi="宋体" w:eastAsia="宋体" w:cs="宋体"/>
                <w:kern w:val="0"/>
                <w:szCs w:val="21"/>
              </w:rPr>
              <w:t>8000</w:t>
            </w:r>
          </w:p>
        </w:tc>
        <w:tc>
          <w:tcPr>
            <w:tcW w:w="431"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280</w:t>
            </w:r>
          </w:p>
        </w:tc>
        <w:tc>
          <w:tcPr>
            <w:tcW w:w="485"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印号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枕套</w:t>
            </w:r>
          </w:p>
        </w:tc>
        <w:tc>
          <w:tcPr>
            <w:tcW w:w="1069" w:type="pct"/>
            <w:tcBorders>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650×450</w:t>
            </w:r>
          </w:p>
        </w:tc>
        <w:tc>
          <w:tcPr>
            <w:tcW w:w="1210" w:type="pct"/>
            <w:tcBorders>
              <w:left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650×450</w:t>
            </w:r>
          </w:p>
        </w:tc>
        <w:tc>
          <w:tcPr>
            <w:tcW w:w="875" w:type="pct"/>
            <w:tcBorders>
              <w:lef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纯棉</w:t>
            </w:r>
          </w:p>
        </w:tc>
        <w:tc>
          <w:tcPr>
            <w:tcW w:w="429" w:type="pct"/>
          </w:tcPr>
          <w:p>
            <w:pPr>
              <w:jc w:val="center"/>
              <w:rPr>
                <w:rFonts w:ascii="宋体" w:hAnsi="宋体" w:eastAsia="宋体" w:cs="宋体"/>
                <w:kern w:val="0"/>
                <w:szCs w:val="21"/>
              </w:rPr>
            </w:pPr>
            <w:r>
              <w:rPr>
                <w:rFonts w:hint="eastAsia" w:ascii="宋体" w:hAnsi="宋体" w:eastAsia="宋体" w:cs="宋体"/>
                <w:kern w:val="0"/>
                <w:szCs w:val="21"/>
              </w:rPr>
              <w:t>8000</w:t>
            </w:r>
          </w:p>
        </w:tc>
        <w:tc>
          <w:tcPr>
            <w:tcW w:w="431"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280</w:t>
            </w:r>
          </w:p>
        </w:tc>
        <w:tc>
          <w:tcPr>
            <w:tcW w:w="485"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印号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8"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枕芯</w:t>
            </w:r>
          </w:p>
        </w:tc>
        <w:tc>
          <w:tcPr>
            <w:tcW w:w="1069" w:type="pct"/>
            <w:tcBorders>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600-</w:t>
            </w:r>
            <w:r>
              <w:rPr>
                <w:rFonts w:hint="eastAsia" w:ascii="宋体" w:hAnsi="宋体" w:eastAsia="宋体" w:cs="宋体"/>
                <w:kern w:val="0"/>
                <w:szCs w:val="21"/>
              </w:rPr>
              <w:t>630×430</w:t>
            </w:r>
          </w:p>
        </w:tc>
        <w:tc>
          <w:tcPr>
            <w:tcW w:w="1210" w:type="pct"/>
            <w:tcBorders>
              <w:left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630×430</w:t>
            </w:r>
          </w:p>
        </w:tc>
        <w:tc>
          <w:tcPr>
            <w:tcW w:w="875" w:type="pct"/>
            <w:tcBorders>
              <w:lef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一级涤纶</w:t>
            </w:r>
          </w:p>
        </w:tc>
        <w:tc>
          <w:tcPr>
            <w:tcW w:w="429" w:type="pct"/>
          </w:tcPr>
          <w:p>
            <w:pPr>
              <w:jc w:val="center"/>
              <w:rPr>
                <w:rFonts w:ascii="宋体" w:hAnsi="宋体" w:eastAsia="宋体" w:cs="宋体"/>
                <w:kern w:val="0"/>
                <w:szCs w:val="21"/>
              </w:rPr>
            </w:pPr>
            <w:r>
              <w:rPr>
                <w:rFonts w:hint="eastAsia" w:ascii="宋体" w:hAnsi="宋体" w:eastAsia="宋体" w:cs="宋体"/>
                <w:kern w:val="0"/>
                <w:szCs w:val="21"/>
              </w:rPr>
              <w:t>4000</w:t>
            </w:r>
          </w:p>
        </w:tc>
        <w:tc>
          <w:tcPr>
            <w:tcW w:w="431"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140</w:t>
            </w:r>
          </w:p>
        </w:tc>
        <w:tc>
          <w:tcPr>
            <w:tcW w:w="485" w:type="pct"/>
            <w:vAlign w:val="bottom"/>
          </w:tcPr>
          <w:p>
            <w:pPr>
              <w:widowControl/>
              <w:jc w:val="center"/>
              <w:rPr>
                <w:rFonts w:ascii="宋体" w:hAnsi="宋体" w:eastAsia="宋体" w:cs="宋体"/>
                <w:kern w:val="0"/>
                <w:szCs w:val="21"/>
              </w:rPr>
            </w:pPr>
            <w:r>
              <w:rPr>
                <w:rFonts w:hint="eastAsia" w:ascii="宋体" w:hAnsi="宋体" w:eastAsia="宋体" w:cs="宋体"/>
                <w:kern w:val="0"/>
                <w:szCs w:val="21"/>
              </w:rPr>
              <w:t>填充物</w:t>
            </w:r>
          </w:p>
        </w:tc>
      </w:tr>
      <w:bookmarkEnd w:id="56"/>
    </w:tbl>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三、原料技术指标</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1.床单、被罩、枕套 100%纯棉斜纹印染花布（40支纱 133经密*72纬密）</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2.被里、褥里       100%纯棉原白布      （30支纱 75经密*75纬密）</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3.被胎、褥胎       100%一级纯棉胎</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4.枕芯             一级涤纶</w:t>
      </w:r>
    </w:p>
    <w:p>
      <w:pPr>
        <w:adjustRightInd w:val="0"/>
        <w:spacing w:line="360" w:lineRule="auto"/>
        <w:ind w:firstLine="42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四、其他要求</w:t>
      </w:r>
      <w:r>
        <w:rPr>
          <w:rFonts w:hint="eastAsia" w:ascii="宋体" w:hAnsi="宋体" w:eastAsia="宋体" w:cs="宋体"/>
          <w:color w:val="000000"/>
          <w:kern w:val="0"/>
          <w:szCs w:val="21"/>
          <w:lang w:eastAsia="zh-CN"/>
        </w:rPr>
        <w:t>：</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1.质保期四年。</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2.供应商企业投标时须提供所投产品齐全的由第三方纤维检验部门出具的检验报告，成交企业所送货物必须经过第三方纤维检验部门检验且检验报告和投标产品的检验报告相符。</w:t>
      </w:r>
    </w:p>
    <w:p>
      <w:pPr>
        <w:adjustRightInd w:val="0"/>
        <w:spacing w:line="360" w:lineRule="auto"/>
        <w:ind w:firstLine="420"/>
        <w:rPr>
          <w:rFonts w:ascii="宋体" w:hAnsi="宋体" w:eastAsia="宋体" w:cs="宋体"/>
          <w:color w:val="000000"/>
          <w:kern w:val="0"/>
          <w:szCs w:val="21"/>
        </w:rPr>
      </w:pPr>
      <w:r>
        <w:rPr>
          <w:rFonts w:hint="eastAsia" w:ascii="宋体" w:hAnsi="宋体" w:eastAsia="宋体" w:cs="宋体"/>
          <w:color w:val="000000"/>
          <w:kern w:val="0"/>
          <w:szCs w:val="21"/>
        </w:rPr>
        <w:t>3.于2020年8月1日以前生产完毕，被品以打包的形式按采购方要求送货到指定寝室并由厂商购买锁具和装柜，迎新期间各新生公寓设置现场售卖点（具体时间地点以采购人通知为准），所有被品按学生需求提供正规票据。</w:t>
      </w:r>
    </w:p>
    <w:p>
      <w:pPr>
        <w:adjustRightInd w:val="0"/>
        <w:spacing w:line="360" w:lineRule="auto"/>
        <w:ind w:firstLine="420"/>
        <w:rPr>
          <w:rFonts w:ascii="宋体" w:hAnsi="宋体" w:cs="宋体"/>
          <w:snapToGrid w:val="0"/>
          <w:lang w:val="zh-TW"/>
        </w:rPr>
      </w:pPr>
      <w:r>
        <w:rPr>
          <w:rFonts w:hint="eastAsia" w:ascii="宋体" w:hAnsi="宋体" w:eastAsia="宋体" w:cs="宋体"/>
          <w:color w:val="000000"/>
          <w:kern w:val="0"/>
          <w:szCs w:val="21"/>
        </w:rPr>
        <w:t>4.成交供应商必须</w:t>
      </w:r>
      <w:r>
        <w:rPr>
          <w:rFonts w:hint="eastAsia" w:ascii="宋体" w:hAnsi="宋体" w:cs="宋体"/>
          <w:snapToGrid w:val="0"/>
          <w:lang w:val="zh-TW"/>
        </w:rPr>
        <w:t>提供良好的售后服务，必须对行李被品提供承诺年限的售后服务。质保期自双方代表在总验收单上签字之日起计算。</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五、样品。供应商须携带符合技术参数</w:t>
      </w:r>
      <w:r>
        <w:rPr>
          <w:rFonts w:hint="eastAsia" w:ascii="宋体" w:hAnsi="宋体" w:eastAsia="宋体" w:cs="宋体"/>
          <w:b/>
          <w:bCs/>
          <w:color w:val="000000"/>
          <w:kern w:val="0"/>
          <w:szCs w:val="21"/>
          <w:highlight w:val="none"/>
        </w:rPr>
        <w:t>（正常规格）</w:t>
      </w:r>
      <w:r>
        <w:rPr>
          <w:rFonts w:hint="eastAsia" w:ascii="宋体" w:hAnsi="宋体" w:cs="宋体"/>
          <w:snapToGrid w:val="0"/>
          <w:highlight w:val="none"/>
          <w:lang w:val="zh-TW"/>
        </w:rPr>
        <w:t>要求的样品参标，</w:t>
      </w:r>
      <w:r>
        <w:rPr>
          <w:rFonts w:hint="eastAsia" w:ascii="宋体" w:hAnsi="宋体" w:eastAsia="宋体" w:cs="宋体"/>
          <w:b/>
          <w:bCs/>
          <w:color w:val="000000"/>
          <w:kern w:val="0"/>
          <w:szCs w:val="21"/>
          <w:highlight w:val="none"/>
        </w:rPr>
        <w:t>所递交样品须无标识、标记</w:t>
      </w:r>
      <w:r>
        <w:rPr>
          <w:rFonts w:hint="eastAsia" w:ascii="宋体" w:hAnsi="宋体" w:cs="宋体"/>
          <w:snapToGrid w:val="0"/>
          <w:highlight w:val="none"/>
          <w:lang w:val="zh-TW"/>
        </w:rPr>
        <w:t>（如印字、供应商名称等）否则其投标将被否决，</w:t>
      </w:r>
      <w:r>
        <w:rPr>
          <w:rFonts w:hint="eastAsia" w:ascii="宋体" w:hAnsi="宋体" w:eastAsia="宋体" w:cs="宋体"/>
          <w:b/>
          <w:bCs/>
          <w:color w:val="000000"/>
          <w:kern w:val="0"/>
          <w:szCs w:val="21"/>
          <w:highlight w:val="none"/>
        </w:rPr>
        <w:t>供应商须对样品进行打包密封，打包密封须无标识、标记</w:t>
      </w:r>
      <w:r>
        <w:rPr>
          <w:rFonts w:hint="eastAsia" w:ascii="宋体" w:hAnsi="宋体" w:cs="宋体"/>
          <w:snapToGrid w:val="0"/>
          <w:highlight w:val="none"/>
          <w:lang w:val="zh-TW"/>
        </w:rPr>
        <w:t>（如印字、供应商名称等）否则其投标将被否决，样品如：棉被胎（1件）、棉褥胎（1件）、被里（1件）、褥里（1件）、被罩（2件）、床单（2件）、枕套（2件）、枕芯（1件），于响应文件递交截止时间前与响应文件一起递交至</w:t>
      </w:r>
      <w:r>
        <w:rPr>
          <w:rFonts w:hint="eastAsia" w:ascii="宋体" w:hAnsi="宋体" w:cs="宋体"/>
          <w:snapToGrid w:val="0"/>
          <w:highlight w:val="none"/>
          <w:lang w:val="zh-TW" w:eastAsia="zh-CN"/>
        </w:rPr>
        <w:t>正信伟业工程咨询管理有限公司</w:t>
      </w:r>
      <w:r>
        <w:rPr>
          <w:rFonts w:hint="eastAsia" w:ascii="宋体" w:hAnsi="宋体" w:cs="宋体"/>
          <w:snapToGrid w:val="0"/>
          <w:highlight w:val="none"/>
          <w:lang w:val="zh-TW"/>
        </w:rPr>
        <w:t>哈尔滨市香坊区红旗大街235号投资大厦17层开标大厅，由代理机构工作人员按响应文件递交顺序进行编号，在评审过程中由磋商小组根据评分标准和评分细则逐一进行打分。供应商未带样品则投标无效，供应商携带超出1套样品以外的其它样品均不在评标范围内。参与磋商所发生的一切费用均由供应商自行承担。</w:t>
      </w:r>
      <w:r>
        <w:rPr>
          <w:rFonts w:hint="eastAsia" w:ascii="宋体" w:hAnsi="宋体" w:cs="宋体"/>
          <w:snapToGrid w:val="0"/>
          <w:highlight w:val="none"/>
          <w:lang w:val="en-US" w:eastAsia="zh-CN"/>
        </w:rPr>
        <w:t>成交供应商</w:t>
      </w:r>
      <w:r>
        <w:rPr>
          <w:rFonts w:hint="eastAsia" w:ascii="宋体" w:hAnsi="宋体" w:cs="宋体"/>
          <w:snapToGrid w:val="0"/>
          <w:highlight w:val="none"/>
          <w:lang w:val="zh-TW"/>
        </w:rPr>
        <w:t>样品</w:t>
      </w:r>
      <w:r>
        <w:rPr>
          <w:rFonts w:hint="eastAsia" w:ascii="宋体" w:hAnsi="宋体" w:cs="宋体"/>
          <w:snapToGrid w:val="0"/>
          <w:highlight w:val="none"/>
          <w:lang w:val="en-US" w:eastAsia="zh-CN"/>
        </w:rPr>
        <w:t>不予</w:t>
      </w:r>
      <w:r>
        <w:rPr>
          <w:rFonts w:hint="eastAsia" w:ascii="宋体" w:hAnsi="宋体" w:cs="宋体"/>
          <w:snapToGrid w:val="0"/>
          <w:highlight w:val="none"/>
          <w:lang w:val="zh-TW"/>
        </w:rPr>
        <w:t>退还</w:t>
      </w:r>
      <w:r>
        <w:rPr>
          <w:rFonts w:hint="eastAsia" w:ascii="宋体" w:hAnsi="宋体" w:cs="宋体"/>
          <w:snapToGrid w:val="0"/>
          <w:highlight w:val="none"/>
          <w:lang w:val="zh-TW" w:eastAsia="zh-CN"/>
        </w:rPr>
        <w:t>，</w:t>
      </w:r>
      <w:r>
        <w:rPr>
          <w:rFonts w:hint="eastAsia" w:ascii="宋体" w:hAnsi="宋体" w:cs="宋体"/>
          <w:snapToGrid w:val="0"/>
          <w:highlight w:val="none"/>
          <w:lang w:val="en-US" w:eastAsia="zh-CN"/>
        </w:rPr>
        <w:t>若本项目无质疑投诉未成交供应商的样品则于成交公告发布之日起7个工作日后退回，若有质疑投诉则须留存至质疑投诉处理结束方可退回</w:t>
      </w:r>
      <w:r>
        <w:rPr>
          <w:rFonts w:hint="eastAsia" w:ascii="宋体" w:hAnsi="宋体" w:cs="宋体"/>
          <w:snapToGrid w:val="0"/>
          <w:highlight w:val="none"/>
          <w:lang w:val="zh-TW"/>
        </w:rPr>
        <w:t>。</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六、国家强制性标准。参与磋商产品的各项技术指标不能低于国家强制性标准，否则报价无效。</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七、验收要求：</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1</w:t>
      </w:r>
      <w:r>
        <w:rPr>
          <w:rFonts w:hint="eastAsia" w:ascii="宋体" w:hAnsi="宋体" w:cs="宋体"/>
          <w:snapToGrid w:val="0"/>
          <w:highlight w:val="none"/>
          <w:lang w:val="en-US" w:eastAsia="zh-CN"/>
        </w:rPr>
        <w:t>.</w:t>
      </w:r>
      <w:r>
        <w:rPr>
          <w:rFonts w:hint="eastAsia" w:ascii="宋体" w:hAnsi="宋体" w:cs="宋体"/>
          <w:snapToGrid w:val="0"/>
          <w:highlight w:val="none"/>
          <w:lang w:val="zh-TW"/>
        </w:rPr>
        <w:t>依据协议、磋商文件及样品对提供产品的规格尺寸、数量、外形、外观、材质、质量、工艺等方面验收。成交供应商应提供所使用的布料等材质清单、原材料检验报告、材料产地证明。</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2</w:t>
      </w:r>
      <w:r>
        <w:rPr>
          <w:rFonts w:hint="eastAsia" w:ascii="宋体" w:hAnsi="宋体" w:cs="宋体"/>
          <w:snapToGrid w:val="0"/>
          <w:highlight w:val="none"/>
          <w:lang w:val="en-US" w:eastAsia="zh-CN"/>
        </w:rPr>
        <w:t>.</w:t>
      </w:r>
      <w:r>
        <w:rPr>
          <w:rFonts w:hint="eastAsia" w:ascii="宋体" w:hAnsi="宋体" w:cs="宋体"/>
          <w:snapToGrid w:val="0"/>
          <w:highlight w:val="none"/>
          <w:lang w:val="zh-TW"/>
        </w:rPr>
        <w:t>采购人将保留的</w:t>
      </w:r>
      <w:r>
        <w:rPr>
          <w:rFonts w:hint="eastAsia" w:ascii="宋体" w:hAnsi="宋体" w:cs="宋体"/>
          <w:snapToGrid w:val="0"/>
          <w:highlight w:val="none"/>
          <w:lang w:val="en-US" w:eastAsia="zh-CN"/>
        </w:rPr>
        <w:t>成交</w:t>
      </w:r>
      <w:r>
        <w:rPr>
          <w:rFonts w:hint="eastAsia" w:ascii="宋体" w:hAnsi="宋体" w:cs="宋体"/>
          <w:snapToGrid w:val="0"/>
          <w:highlight w:val="none"/>
          <w:lang w:val="zh-TW"/>
        </w:rPr>
        <w:t>供应商样品用于进货验收对比，将</w:t>
      </w:r>
      <w:r>
        <w:rPr>
          <w:rFonts w:hint="eastAsia" w:ascii="宋体" w:hAnsi="宋体" w:cs="宋体"/>
          <w:snapToGrid w:val="0"/>
          <w:highlight w:val="none"/>
          <w:lang w:val="en-US" w:eastAsia="zh-CN"/>
        </w:rPr>
        <w:t>成交</w:t>
      </w:r>
      <w:r>
        <w:rPr>
          <w:rFonts w:hint="eastAsia" w:ascii="宋体" w:hAnsi="宋体" w:cs="宋体"/>
          <w:snapToGrid w:val="0"/>
          <w:highlight w:val="none"/>
          <w:lang w:val="zh-TW"/>
        </w:rPr>
        <w:t>供应商的供货企业名单通报省纤维检验局。</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3</w:t>
      </w:r>
      <w:r>
        <w:rPr>
          <w:rFonts w:hint="eastAsia" w:ascii="宋体" w:hAnsi="宋体" w:cs="宋体"/>
          <w:snapToGrid w:val="0"/>
          <w:highlight w:val="none"/>
          <w:lang w:val="en-US" w:eastAsia="zh-CN"/>
        </w:rPr>
        <w:t>.</w:t>
      </w:r>
      <w:r>
        <w:rPr>
          <w:rFonts w:hint="eastAsia" w:ascii="宋体" w:hAnsi="宋体" w:cs="宋体"/>
          <w:snapToGrid w:val="0"/>
          <w:highlight w:val="none"/>
          <w:lang w:val="zh-TW"/>
        </w:rPr>
        <w:t>由采购人（含邀请的专家、监审组成员）与成交供应商对行李备品到货后共同进行验收，出现损坏、数量不全等问题时，由成交供应商负责解决。</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4</w:t>
      </w:r>
      <w:r>
        <w:rPr>
          <w:rFonts w:hint="eastAsia" w:ascii="宋体" w:hAnsi="宋体" w:cs="宋体"/>
          <w:snapToGrid w:val="0"/>
          <w:highlight w:val="none"/>
          <w:lang w:val="en-US" w:eastAsia="zh-CN"/>
        </w:rPr>
        <w:t>.</w:t>
      </w:r>
      <w:r>
        <w:rPr>
          <w:rFonts w:hint="eastAsia" w:ascii="宋体" w:hAnsi="宋体" w:cs="宋体"/>
          <w:snapToGrid w:val="0"/>
          <w:highlight w:val="none"/>
          <w:lang w:val="zh-TW"/>
        </w:rPr>
        <w:t>在学生床上用品批量进校时，验明质量检验报告和产品标识，对比</w:t>
      </w:r>
      <w:r>
        <w:rPr>
          <w:rFonts w:hint="eastAsia" w:ascii="宋体" w:hAnsi="宋体" w:cs="宋体"/>
          <w:snapToGrid w:val="0"/>
          <w:highlight w:val="none"/>
          <w:lang w:val="en-US" w:eastAsia="zh-CN"/>
        </w:rPr>
        <w:t>成交</w:t>
      </w:r>
      <w:r>
        <w:rPr>
          <w:rFonts w:hint="eastAsia" w:ascii="宋体" w:hAnsi="宋体" w:cs="宋体"/>
          <w:snapToGrid w:val="0"/>
          <w:highlight w:val="none"/>
          <w:lang w:val="zh-TW"/>
        </w:rPr>
        <w:t>供应商所提供的样品，并随机抽取样品送法定检验机构检验，如发现涉嫌质量问题应及时向当地质监部门或省纤维检验局反映。</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5</w:t>
      </w:r>
      <w:r>
        <w:rPr>
          <w:rFonts w:hint="eastAsia" w:ascii="宋体" w:hAnsi="宋体" w:cs="宋体"/>
          <w:snapToGrid w:val="0"/>
          <w:highlight w:val="none"/>
          <w:lang w:val="en-US" w:eastAsia="zh-CN"/>
        </w:rPr>
        <w:t>.</w:t>
      </w:r>
      <w:r>
        <w:rPr>
          <w:rFonts w:hint="eastAsia" w:ascii="宋体" w:hAnsi="宋体" w:cs="宋体"/>
          <w:snapToGrid w:val="0"/>
          <w:highlight w:val="none"/>
          <w:lang w:val="zh-TW"/>
        </w:rPr>
        <w:t>如果行李备品性能指标不符合标书、协议及样品的要求，需方有权拒收。</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6</w:t>
      </w:r>
      <w:r>
        <w:rPr>
          <w:rFonts w:hint="eastAsia" w:ascii="宋体" w:hAnsi="宋体" w:cs="宋体"/>
          <w:snapToGrid w:val="0"/>
          <w:highlight w:val="none"/>
          <w:lang w:val="en-US" w:eastAsia="zh-CN"/>
        </w:rPr>
        <w:t>.</w:t>
      </w:r>
      <w:r>
        <w:rPr>
          <w:rFonts w:hint="eastAsia" w:ascii="宋体" w:hAnsi="宋体" w:cs="宋体"/>
          <w:snapToGrid w:val="0"/>
          <w:highlight w:val="none"/>
          <w:lang w:val="zh-TW"/>
        </w:rPr>
        <w:t>采购人根据工期进度进行不定期检查、抽查，如出现严重质量问题或违反标书、协议要求时，由成交供应商负责解决。采购人有权按违约处理。</w:t>
      </w:r>
    </w:p>
    <w:p>
      <w:pPr>
        <w:adjustRightInd w:val="0"/>
        <w:spacing w:line="360" w:lineRule="auto"/>
        <w:ind w:firstLine="420"/>
        <w:rPr>
          <w:rFonts w:hint="eastAsia" w:ascii="宋体" w:hAnsi="宋体" w:cs="宋体"/>
          <w:snapToGrid w:val="0"/>
          <w:highlight w:val="none"/>
          <w:lang w:val="zh-TW"/>
        </w:rPr>
      </w:pPr>
      <w:r>
        <w:rPr>
          <w:rFonts w:hint="eastAsia" w:ascii="宋体" w:hAnsi="宋体" w:cs="宋体"/>
          <w:snapToGrid w:val="0"/>
          <w:highlight w:val="none"/>
          <w:lang w:val="zh-TW"/>
        </w:rPr>
        <w:t>7</w:t>
      </w:r>
      <w:r>
        <w:rPr>
          <w:rFonts w:hint="eastAsia" w:ascii="宋体" w:hAnsi="宋体" w:cs="宋体"/>
          <w:snapToGrid w:val="0"/>
          <w:highlight w:val="none"/>
          <w:lang w:val="en-US" w:eastAsia="zh-CN"/>
        </w:rPr>
        <w:t>.</w:t>
      </w:r>
      <w:r>
        <w:rPr>
          <w:rFonts w:hint="eastAsia" w:ascii="宋体" w:hAnsi="宋体" w:cs="宋体"/>
          <w:snapToGrid w:val="0"/>
          <w:highlight w:val="none"/>
          <w:lang w:val="zh-TW"/>
        </w:rPr>
        <w:t>采购人保留在货物加工期间在加工现场对加工货物的原材料及选材进行检查的权利。如在检查期间发现作假或不符合磋商文件及合同约定的行为，采购人有权终止合同。</w:t>
      </w:r>
    </w:p>
    <w:p>
      <w:pPr>
        <w:adjustRightInd w:val="0"/>
        <w:spacing w:line="360" w:lineRule="auto"/>
        <w:ind w:firstLine="420"/>
        <w:rPr>
          <w:rFonts w:hint="eastAsia" w:ascii="宋体" w:hAnsi="宋体" w:cs="宋体"/>
          <w:snapToGrid w:val="0"/>
          <w:highlight w:val="yellow"/>
          <w:lang w:val="zh-TW"/>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rPr>
          <w:highlight w:val="none"/>
        </w:rPr>
      </w:pPr>
    </w:p>
    <w:p>
      <w:pPr>
        <w:rPr>
          <w:highlight w:val="none"/>
        </w:rPr>
      </w:pPr>
    </w:p>
    <w:p>
      <w:pPr>
        <w:pStyle w:val="5"/>
        <w:spacing w:before="156" w:after="156"/>
        <w:jc w:val="center"/>
        <w:rPr>
          <w:highlight w:val="none"/>
        </w:rPr>
      </w:pPr>
      <w:bookmarkStart w:id="57" w:name="_Toc468350119"/>
      <w:bookmarkStart w:id="58" w:name="_Toc28150"/>
      <w:bookmarkStart w:id="59" w:name="_Toc7226"/>
      <w:r>
        <w:rPr>
          <w:rFonts w:hint="eastAsia"/>
          <w:highlight w:val="none"/>
        </w:rPr>
        <w:t>第四部分 主要合同条款及合同格式</w:t>
      </w:r>
      <w:bookmarkEnd w:id="57"/>
      <w:bookmarkEnd w:id="58"/>
      <w:bookmarkEnd w:id="59"/>
    </w:p>
    <w:p>
      <w:pPr>
        <w:snapToGrid w:val="0"/>
        <w:spacing w:line="360" w:lineRule="auto"/>
        <w:ind w:right="480"/>
        <w:jc w:val="center"/>
        <w:rPr>
          <w:rFonts w:eastAsia="仿宋_GB2312"/>
          <w:sz w:val="28"/>
          <w:szCs w:val="28"/>
          <w:highlight w:val="none"/>
          <w:u w:val="single"/>
        </w:rPr>
      </w:pPr>
      <w:r>
        <w:rPr>
          <w:rFonts w:hint="eastAsia" w:ascii="宋体" w:hAnsi="宋体"/>
          <w:szCs w:val="21"/>
          <w:highlight w:val="none"/>
        </w:rPr>
        <w:t>(参照执行)</w:t>
      </w:r>
    </w:p>
    <w:p>
      <w:pPr>
        <w:snapToGrid w:val="0"/>
        <w:spacing w:line="360" w:lineRule="auto"/>
        <w:ind w:right="480"/>
        <w:jc w:val="left"/>
        <w:rPr>
          <w:rFonts w:eastAsia="仿宋_GB2312"/>
          <w:sz w:val="28"/>
          <w:szCs w:val="28"/>
          <w:highlight w:val="none"/>
          <w:u w:val="single"/>
        </w:rPr>
      </w:pPr>
    </w:p>
    <w:p>
      <w:pPr>
        <w:widowControl/>
        <w:spacing w:line="360" w:lineRule="auto"/>
        <w:jc w:val="left"/>
        <w:rPr>
          <w:rFonts w:eastAsia="华文中宋"/>
          <w:bCs/>
          <w:sz w:val="24"/>
          <w:highlight w:val="none"/>
        </w:rPr>
      </w:pPr>
      <w:r>
        <w:rPr>
          <w:rFonts w:eastAsia="华文中宋"/>
          <w:bCs/>
          <w:sz w:val="24"/>
          <w:highlight w:val="none"/>
        </w:rPr>
        <w:br w:type="page"/>
      </w:r>
    </w:p>
    <w:p>
      <w:pPr>
        <w:jc w:val="center"/>
        <w:rPr>
          <w:rFonts w:ascii="黑体" w:hAnsi="黑体" w:eastAsia="黑体"/>
          <w:b/>
          <w:position w:val="16"/>
          <w:sz w:val="36"/>
          <w:szCs w:val="36"/>
          <w:highlight w:val="none"/>
        </w:rPr>
      </w:pPr>
      <w:r>
        <w:rPr>
          <w:rFonts w:hint="eastAsia" w:ascii="黑体" w:hAnsi="黑体" w:eastAsia="黑体"/>
          <w:b/>
          <w:position w:val="16"/>
          <w:sz w:val="36"/>
          <w:szCs w:val="36"/>
          <w:highlight w:val="none"/>
        </w:rPr>
        <w:t xml:space="preserve">采  购  </w:t>
      </w:r>
      <w:r>
        <w:rPr>
          <w:rFonts w:ascii="黑体" w:hAnsi="黑体" w:eastAsia="黑体"/>
          <w:b/>
          <w:position w:val="16"/>
          <w:sz w:val="36"/>
          <w:szCs w:val="36"/>
          <w:highlight w:val="none"/>
        </w:rPr>
        <w:t xml:space="preserve">合 </w:t>
      </w:r>
      <w:r>
        <w:rPr>
          <w:rFonts w:hint="eastAsia" w:ascii="黑体" w:hAnsi="黑体" w:eastAsia="黑体"/>
          <w:b/>
          <w:position w:val="16"/>
          <w:sz w:val="36"/>
          <w:szCs w:val="36"/>
          <w:highlight w:val="none"/>
        </w:rPr>
        <w:t xml:space="preserve"> </w:t>
      </w:r>
      <w:r>
        <w:rPr>
          <w:rFonts w:ascii="黑体" w:hAnsi="黑体" w:eastAsia="黑体"/>
          <w:b/>
          <w:position w:val="16"/>
          <w:sz w:val="36"/>
          <w:szCs w:val="36"/>
          <w:highlight w:val="none"/>
        </w:rPr>
        <w:t>同</w:t>
      </w:r>
    </w:p>
    <w:p>
      <w:pPr>
        <w:spacing w:line="440" w:lineRule="exact"/>
        <w:rPr>
          <w:rFonts w:ascii="仿宋" w:hAnsi="仿宋" w:eastAsia="仿宋" w:cs="仿宋"/>
          <w:kern w:val="0"/>
          <w:sz w:val="24"/>
          <w:highlight w:val="none"/>
        </w:rPr>
      </w:pPr>
      <w:r>
        <w:rPr>
          <w:rFonts w:hint="eastAsia" w:ascii="仿宋" w:hAnsi="仿宋" w:eastAsia="仿宋" w:cs="仿宋"/>
          <w:b/>
          <w:kern w:val="0"/>
          <w:sz w:val="24"/>
          <w:highlight w:val="none"/>
        </w:rPr>
        <w:t>签订地点</w:t>
      </w:r>
      <w:r>
        <w:rPr>
          <w:rFonts w:hint="eastAsia" w:ascii="仿宋" w:hAnsi="仿宋" w:eastAsia="仿宋" w:cs="仿宋"/>
          <w:kern w:val="0"/>
          <w:sz w:val="24"/>
          <w:highlight w:val="none"/>
        </w:rPr>
        <w:t xml:space="preserve">：哈尔滨                             </w:t>
      </w:r>
      <w:r>
        <w:rPr>
          <w:rFonts w:hint="eastAsia" w:ascii="仿宋" w:hAnsi="仿宋" w:eastAsia="仿宋" w:cs="仿宋"/>
          <w:b/>
          <w:kern w:val="0"/>
          <w:sz w:val="24"/>
          <w:highlight w:val="none"/>
        </w:rPr>
        <w:t>合同编号</w:t>
      </w:r>
      <w:r>
        <w:rPr>
          <w:rFonts w:hint="eastAsia" w:ascii="仿宋" w:hAnsi="仿宋" w:eastAsia="仿宋" w:cs="仿宋"/>
          <w:kern w:val="0"/>
          <w:sz w:val="24"/>
          <w:highlight w:val="none"/>
        </w:rPr>
        <w:t>：</w:t>
      </w:r>
    </w:p>
    <w:p>
      <w:pPr>
        <w:widowControl/>
        <w:spacing w:line="440" w:lineRule="exact"/>
        <w:textAlignment w:val="center"/>
        <w:rPr>
          <w:rFonts w:ascii="仿宋" w:hAnsi="仿宋" w:eastAsia="仿宋" w:cs="仿宋"/>
          <w:kern w:val="0"/>
          <w:sz w:val="24"/>
          <w:highlight w:val="none"/>
        </w:rPr>
      </w:pPr>
      <w:r>
        <w:rPr>
          <w:rStyle w:val="38"/>
          <w:rFonts w:hint="eastAsia" w:ascii="仿宋" w:hAnsi="仿宋" w:eastAsia="仿宋" w:cs="仿宋"/>
          <w:b/>
          <w:sz w:val="24"/>
          <w:highlight w:val="none"/>
        </w:rPr>
        <w:t>甲方</w:t>
      </w:r>
      <w:r>
        <w:rPr>
          <w:rStyle w:val="38"/>
          <w:rFonts w:hint="eastAsia" w:ascii="仿宋" w:hAnsi="仿宋" w:eastAsia="仿宋" w:cs="仿宋"/>
          <w:sz w:val="24"/>
          <w:highlight w:val="none"/>
        </w:rPr>
        <w:t>：</w:t>
      </w:r>
      <w:r>
        <w:rPr>
          <w:rFonts w:hint="eastAsia" w:ascii="仿宋" w:hAnsi="仿宋" w:eastAsia="仿宋" w:cs="仿宋"/>
          <w:kern w:val="0"/>
          <w:sz w:val="24"/>
          <w:highlight w:val="none"/>
        </w:rPr>
        <w:t xml:space="preserve">哈尔滨工程大学                         </w:t>
      </w:r>
      <w:r>
        <w:rPr>
          <w:rFonts w:hint="eastAsia" w:ascii="仿宋" w:hAnsi="仿宋" w:eastAsia="仿宋" w:cs="仿宋"/>
          <w:b/>
          <w:kern w:val="0"/>
          <w:sz w:val="24"/>
          <w:highlight w:val="none"/>
        </w:rPr>
        <w:t>乙方：</w:t>
      </w:r>
      <w:r>
        <w:rPr>
          <w:rFonts w:hint="eastAsia" w:ascii="仿宋" w:hAnsi="仿宋" w:eastAsia="仿宋" w:cs="仿宋"/>
          <w:kern w:val="0"/>
          <w:sz w:val="24"/>
          <w:highlight w:val="none"/>
        </w:rPr>
        <w:t>**************</w:t>
      </w:r>
    </w:p>
    <w:p>
      <w:pPr>
        <w:widowControl/>
        <w:spacing w:line="440" w:lineRule="exact"/>
        <w:textAlignment w:val="center"/>
        <w:rPr>
          <w:rFonts w:ascii="仿宋" w:hAnsi="仿宋" w:eastAsia="仿宋" w:cs="仿宋"/>
          <w:b/>
          <w:sz w:val="24"/>
          <w:highlight w:val="none"/>
        </w:rPr>
      </w:pPr>
      <w:r>
        <w:rPr>
          <w:rStyle w:val="38"/>
          <w:rFonts w:hint="eastAsia" w:ascii="仿宋" w:hAnsi="仿宋" w:eastAsia="仿宋" w:cs="仿宋"/>
          <w:b/>
          <w:sz w:val="24"/>
          <w:highlight w:val="none"/>
        </w:rPr>
        <w:t>地址</w:t>
      </w:r>
      <w:r>
        <w:rPr>
          <w:rStyle w:val="38"/>
          <w:rFonts w:hint="eastAsia" w:ascii="仿宋" w:hAnsi="仿宋" w:eastAsia="仿宋" w:cs="仿宋"/>
          <w:sz w:val="24"/>
          <w:highlight w:val="none"/>
        </w:rPr>
        <w:t>：</w:t>
      </w:r>
      <w:r>
        <w:rPr>
          <w:rFonts w:hint="eastAsia" w:ascii="仿宋" w:hAnsi="仿宋" w:eastAsia="仿宋" w:cs="仿宋"/>
          <w:kern w:val="0"/>
          <w:sz w:val="24"/>
          <w:highlight w:val="none"/>
        </w:rPr>
        <w:t xml:space="preserve">哈尔滨南岗区南通大街145号             </w:t>
      </w:r>
      <w:r>
        <w:rPr>
          <w:rStyle w:val="38"/>
          <w:rFonts w:hint="eastAsia" w:ascii="仿宋" w:hAnsi="仿宋" w:eastAsia="仿宋" w:cs="仿宋"/>
          <w:b/>
          <w:sz w:val="24"/>
          <w:highlight w:val="none"/>
        </w:rPr>
        <w:t>地址</w:t>
      </w:r>
      <w:r>
        <w:rPr>
          <w:rStyle w:val="38"/>
          <w:rFonts w:hint="eastAsia" w:ascii="仿宋" w:hAnsi="仿宋" w:eastAsia="仿宋" w:cs="仿宋"/>
          <w:sz w:val="24"/>
          <w:highlight w:val="none"/>
        </w:rPr>
        <w:t>：</w:t>
      </w:r>
      <w:r>
        <w:rPr>
          <w:rFonts w:hint="eastAsia" w:ascii="仿宋" w:hAnsi="仿宋" w:eastAsia="仿宋" w:cs="仿宋"/>
          <w:kern w:val="0"/>
          <w:sz w:val="24"/>
          <w:highlight w:val="none"/>
        </w:rPr>
        <w:t>**************</w:t>
      </w:r>
      <w:r>
        <w:rPr>
          <w:rStyle w:val="38"/>
          <w:rFonts w:hint="eastAsia" w:ascii="仿宋" w:hAnsi="仿宋" w:eastAsia="仿宋" w:cs="仿宋"/>
          <w:sz w:val="24"/>
          <w:highlight w:val="none"/>
        </w:rPr>
        <w:t xml:space="preserve">     </w:t>
      </w:r>
    </w:p>
    <w:p>
      <w:pPr>
        <w:spacing w:line="440" w:lineRule="exact"/>
        <w:rPr>
          <w:rFonts w:ascii="仿宋" w:hAnsi="仿宋" w:eastAsia="仿宋" w:cs="仿宋"/>
          <w:kern w:val="0"/>
          <w:sz w:val="24"/>
          <w:highlight w:val="none"/>
        </w:rPr>
      </w:pPr>
      <w:r>
        <w:rPr>
          <w:rFonts w:hint="eastAsia" w:ascii="仿宋" w:hAnsi="仿宋" w:eastAsia="仿宋" w:cs="仿宋"/>
          <w:b/>
          <w:kern w:val="0"/>
          <w:sz w:val="24"/>
          <w:highlight w:val="none"/>
        </w:rPr>
        <w:t>单位及电话：</w:t>
      </w:r>
      <w:r>
        <w:rPr>
          <w:rFonts w:hint="eastAsia" w:ascii="仿宋" w:hAnsi="仿宋" w:eastAsia="仿宋" w:cs="仿宋"/>
          <w:kern w:val="0"/>
          <w:sz w:val="24"/>
          <w:highlight w:val="none"/>
        </w:rPr>
        <w:t xml:space="preserve">****学院，                       </w:t>
      </w:r>
      <w:r>
        <w:rPr>
          <w:rFonts w:hint="eastAsia" w:ascii="仿宋" w:hAnsi="仿宋" w:eastAsia="仿宋" w:cs="仿宋"/>
          <w:b/>
          <w:kern w:val="0"/>
          <w:sz w:val="24"/>
          <w:highlight w:val="none"/>
        </w:rPr>
        <w:t>电话：</w:t>
      </w:r>
      <w:r>
        <w:rPr>
          <w:rFonts w:hint="eastAsia" w:ascii="仿宋" w:hAnsi="仿宋" w:eastAsia="仿宋" w:cs="仿宋"/>
          <w:kern w:val="0"/>
          <w:sz w:val="24"/>
          <w:highlight w:val="none"/>
        </w:rPr>
        <w:t xml:space="preserve">******  </w:t>
      </w:r>
    </w:p>
    <w:p>
      <w:pPr>
        <w:pBdr>
          <w:bottom w:val="single" w:color="auto" w:sz="6" w:space="1"/>
        </w:pBdr>
        <w:spacing w:line="440" w:lineRule="exact"/>
        <w:rPr>
          <w:rFonts w:ascii="仿宋" w:hAnsi="仿宋" w:eastAsia="仿宋" w:cs="仿宋"/>
          <w:kern w:val="0"/>
          <w:sz w:val="24"/>
          <w:highlight w:val="none"/>
        </w:rPr>
      </w:pPr>
      <w:r>
        <w:rPr>
          <w:rFonts w:hint="eastAsia" w:ascii="仿宋" w:hAnsi="仿宋" w:eastAsia="仿宋" w:cs="仿宋"/>
          <w:b/>
          <w:kern w:val="0"/>
          <w:sz w:val="24"/>
          <w:highlight w:val="none"/>
        </w:rPr>
        <w:t>邮政编码:</w:t>
      </w:r>
      <w:r>
        <w:rPr>
          <w:rFonts w:hint="eastAsia" w:ascii="仿宋" w:hAnsi="仿宋" w:eastAsia="仿宋" w:cs="仿宋"/>
          <w:kern w:val="0"/>
          <w:sz w:val="24"/>
          <w:highlight w:val="none"/>
        </w:rPr>
        <w:t xml:space="preserve"> 150001                             </w:t>
      </w:r>
      <w:r>
        <w:rPr>
          <w:rFonts w:hint="eastAsia" w:ascii="仿宋" w:hAnsi="仿宋" w:eastAsia="仿宋" w:cs="仿宋"/>
          <w:b/>
          <w:kern w:val="0"/>
          <w:sz w:val="24"/>
          <w:highlight w:val="none"/>
        </w:rPr>
        <w:t>邮政编码:</w:t>
      </w:r>
      <w:r>
        <w:rPr>
          <w:rFonts w:hint="eastAsia" w:ascii="仿宋" w:hAnsi="仿宋" w:eastAsia="仿宋" w:cs="仿宋"/>
          <w:kern w:val="0"/>
          <w:sz w:val="24"/>
          <w:highlight w:val="none"/>
        </w:rPr>
        <w:t xml:space="preserve"> ******  </w:t>
      </w:r>
    </w:p>
    <w:p>
      <w:pPr>
        <w:rPr>
          <w:rFonts w:ascii="仿宋" w:hAnsi="仿宋" w:eastAsia="仿宋" w:cs="仿宋"/>
          <w:kern w:val="0"/>
          <w:sz w:val="24"/>
          <w:highlight w:val="none"/>
        </w:rPr>
      </w:pPr>
      <w:r>
        <w:rPr>
          <w:rFonts w:hint="eastAsia" w:ascii="仿宋" w:hAnsi="仿宋" w:eastAsia="仿宋" w:cs="仿宋"/>
          <w:kern w:val="0"/>
          <w:sz w:val="24"/>
          <w:highlight w:val="none"/>
        </w:rPr>
        <w:t xml:space="preserve">                  </w:t>
      </w:r>
    </w:p>
    <w:p>
      <w:pPr>
        <w:pStyle w:val="3"/>
        <w:suppressAutoHyphens/>
        <w:adjustRightInd w:val="0"/>
        <w:snapToGrid w:val="0"/>
        <w:spacing w:after="0" w:line="440" w:lineRule="exact"/>
        <w:ind w:right="106" w:rightChars="50" w:firstLine="484" w:firstLineChars="200"/>
        <w:rPr>
          <w:rFonts w:ascii="仿宋" w:hAnsi="仿宋" w:eastAsia="仿宋" w:cs="仿宋"/>
          <w:sz w:val="24"/>
          <w:highlight w:val="none"/>
        </w:rPr>
      </w:pPr>
      <w:r>
        <w:rPr>
          <w:rFonts w:hint="eastAsia" w:ascii="仿宋" w:hAnsi="仿宋" w:eastAsia="仿宋" w:cs="仿宋"/>
          <w:sz w:val="24"/>
          <w:highlight w:val="none"/>
        </w:rPr>
        <w:t>根据《中华人民共和国合同法》及其他有关法律、法规的规定，遵循平等、自愿、公平和诚实信用原则，甲、乙双方现就</w:t>
      </w:r>
      <w:r>
        <w:rPr>
          <w:rFonts w:hint="eastAsia" w:ascii="仿宋" w:hAnsi="仿宋" w:eastAsia="仿宋" w:cs="仿宋"/>
          <w:kern w:val="0"/>
          <w:sz w:val="24"/>
          <w:highlight w:val="none"/>
        </w:rPr>
        <w:t>********</w:t>
      </w:r>
      <w:r>
        <w:rPr>
          <w:rFonts w:hint="eastAsia" w:ascii="仿宋" w:hAnsi="仿宋" w:eastAsia="仿宋" w:cs="仿宋"/>
          <w:sz w:val="24"/>
          <w:highlight w:val="none"/>
        </w:rPr>
        <w:t>采购及服务事宜，经充分协商，同意按如下条款订立本合同：</w:t>
      </w:r>
    </w:p>
    <w:p>
      <w:pPr>
        <w:pStyle w:val="3"/>
        <w:suppressAutoHyphens/>
        <w:adjustRightInd w:val="0"/>
        <w:snapToGrid w:val="0"/>
        <w:spacing w:after="0" w:line="240" w:lineRule="atLeast"/>
        <w:rPr>
          <w:rFonts w:ascii="仿宋" w:hAnsi="仿宋" w:eastAsia="仿宋" w:cs="仿宋"/>
          <w:highlight w:val="none"/>
        </w:rPr>
      </w:pPr>
    </w:p>
    <w:p>
      <w:pPr>
        <w:pStyle w:val="3"/>
        <w:suppressAutoHyphens/>
        <w:adjustRightInd w:val="0"/>
        <w:snapToGrid w:val="0"/>
        <w:spacing w:after="0" w:line="240" w:lineRule="atLeast"/>
        <w:rPr>
          <w:rFonts w:ascii="仿宋" w:hAnsi="仿宋" w:eastAsia="仿宋" w:cs="仿宋"/>
          <w:sz w:val="24"/>
          <w:highlight w:val="none"/>
        </w:rPr>
      </w:pPr>
      <w:r>
        <w:rPr>
          <w:rFonts w:hint="eastAsia" w:ascii="仿宋" w:hAnsi="仿宋" w:eastAsia="仿宋" w:cs="仿宋"/>
          <w:b/>
          <w:kern w:val="0"/>
          <w:sz w:val="24"/>
          <w:highlight w:val="none"/>
        </w:rPr>
        <w:t>第一条 合同内容：</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308"/>
        <w:gridCol w:w="1079"/>
        <w:gridCol w:w="1350"/>
        <w:gridCol w:w="1217"/>
        <w:gridCol w:w="944"/>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序号</w:t>
            </w:r>
          </w:p>
        </w:tc>
        <w:tc>
          <w:tcPr>
            <w:tcW w:w="1294"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货物名称</w:t>
            </w:r>
          </w:p>
        </w:tc>
        <w:tc>
          <w:tcPr>
            <w:tcW w:w="605"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品牌</w:t>
            </w:r>
          </w:p>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型号</w:t>
            </w:r>
          </w:p>
        </w:tc>
        <w:tc>
          <w:tcPr>
            <w:tcW w:w="757" w:type="pct"/>
            <w:shd w:val="clear" w:color="auto" w:fill="auto"/>
            <w:vAlign w:val="center"/>
          </w:tcPr>
          <w:p>
            <w:pPr>
              <w:widowControl/>
              <w:suppressAutoHyphens/>
              <w:spacing w:line="240" w:lineRule="atLeas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主要性能</w:t>
            </w:r>
          </w:p>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指标</w:t>
            </w:r>
          </w:p>
        </w:tc>
        <w:tc>
          <w:tcPr>
            <w:tcW w:w="682"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数量</w:t>
            </w:r>
          </w:p>
        </w:tc>
        <w:tc>
          <w:tcPr>
            <w:tcW w:w="529"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单价</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（元）</w:t>
            </w:r>
          </w:p>
        </w:tc>
        <w:tc>
          <w:tcPr>
            <w:tcW w:w="697" w:type="pct"/>
            <w:shd w:val="clear" w:color="auto" w:fill="auto"/>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金额</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shd w:val="clear" w:color="auto" w:fill="auto"/>
            <w:vAlign w:val="center"/>
          </w:tcPr>
          <w:p>
            <w:pPr>
              <w:spacing w:line="240" w:lineRule="atLeast"/>
              <w:rPr>
                <w:rFonts w:ascii="仿宋" w:hAnsi="仿宋" w:eastAsia="仿宋" w:cs="仿宋"/>
                <w:highlight w:val="none"/>
              </w:rPr>
            </w:pPr>
          </w:p>
        </w:tc>
        <w:tc>
          <w:tcPr>
            <w:tcW w:w="1294" w:type="pct"/>
            <w:shd w:val="clear" w:color="auto" w:fill="auto"/>
            <w:vAlign w:val="center"/>
          </w:tcPr>
          <w:p>
            <w:pPr>
              <w:spacing w:line="240" w:lineRule="atLeast"/>
              <w:rPr>
                <w:rFonts w:ascii="仿宋" w:hAnsi="仿宋" w:eastAsia="仿宋" w:cs="仿宋"/>
                <w:highlight w:val="none"/>
              </w:rPr>
            </w:pPr>
          </w:p>
        </w:tc>
        <w:tc>
          <w:tcPr>
            <w:tcW w:w="605" w:type="pct"/>
            <w:shd w:val="clear" w:color="auto" w:fill="auto"/>
            <w:vAlign w:val="center"/>
          </w:tcPr>
          <w:p>
            <w:pPr>
              <w:spacing w:line="240" w:lineRule="atLeast"/>
              <w:rPr>
                <w:rFonts w:ascii="仿宋" w:hAnsi="仿宋" w:eastAsia="仿宋" w:cs="仿宋"/>
                <w:highlight w:val="none"/>
              </w:rPr>
            </w:pPr>
          </w:p>
        </w:tc>
        <w:tc>
          <w:tcPr>
            <w:tcW w:w="757" w:type="pct"/>
            <w:shd w:val="clear" w:color="auto" w:fill="auto"/>
            <w:vAlign w:val="center"/>
          </w:tcPr>
          <w:p>
            <w:pPr>
              <w:spacing w:line="240" w:lineRule="atLeast"/>
              <w:rPr>
                <w:rFonts w:ascii="仿宋" w:hAnsi="仿宋" w:eastAsia="仿宋" w:cs="仿宋"/>
                <w:highlight w:val="none"/>
              </w:rPr>
            </w:pPr>
          </w:p>
        </w:tc>
        <w:tc>
          <w:tcPr>
            <w:tcW w:w="682" w:type="pct"/>
            <w:shd w:val="clear" w:color="auto" w:fill="auto"/>
            <w:vAlign w:val="center"/>
          </w:tcPr>
          <w:p>
            <w:pPr>
              <w:spacing w:line="240" w:lineRule="atLeast"/>
              <w:rPr>
                <w:rFonts w:ascii="仿宋" w:hAnsi="仿宋" w:eastAsia="仿宋" w:cs="仿宋"/>
                <w:highlight w:val="none"/>
              </w:rPr>
            </w:pPr>
          </w:p>
        </w:tc>
        <w:tc>
          <w:tcPr>
            <w:tcW w:w="529" w:type="pct"/>
            <w:shd w:val="clear" w:color="auto" w:fill="auto"/>
            <w:vAlign w:val="center"/>
          </w:tcPr>
          <w:p>
            <w:pPr>
              <w:spacing w:line="240" w:lineRule="atLeast"/>
              <w:rPr>
                <w:rFonts w:ascii="仿宋" w:hAnsi="仿宋" w:eastAsia="仿宋" w:cs="仿宋"/>
                <w:highlight w:val="none"/>
              </w:rPr>
            </w:pPr>
          </w:p>
        </w:tc>
        <w:tc>
          <w:tcPr>
            <w:tcW w:w="697" w:type="pct"/>
            <w:shd w:val="clear" w:color="auto" w:fill="auto"/>
            <w:vAlign w:val="center"/>
          </w:tcPr>
          <w:p>
            <w:pPr>
              <w:spacing w:line="240" w:lineRule="atLeas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shd w:val="clear" w:color="auto" w:fill="auto"/>
            <w:vAlign w:val="center"/>
          </w:tcPr>
          <w:p>
            <w:pPr>
              <w:spacing w:line="240" w:lineRule="atLeast"/>
              <w:rPr>
                <w:rFonts w:ascii="仿宋" w:hAnsi="仿宋" w:eastAsia="仿宋" w:cs="仿宋"/>
                <w:highlight w:val="none"/>
              </w:rPr>
            </w:pPr>
          </w:p>
        </w:tc>
        <w:tc>
          <w:tcPr>
            <w:tcW w:w="1294" w:type="pct"/>
            <w:shd w:val="clear" w:color="auto" w:fill="auto"/>
            <w:vAlign w:val="center"/>
          </w:tcPr>
          <w:p>
            <w:pPr>
              <w:spacing w:line="240" w:lineRule="atLeast"/>
              <w:rPr>
                <w:rFonts w:ascii="仿宋" w:hAnsi="仿宋" w:eastAsia="仿宋" w:cs="仿宋"/>
                <w:highlight w:val="none"/>
              </w:rPr>
            </w:pPr>
          </w:p>
        </w:tc>
        <w:tc>
          <w:tcPr>
            <w:tcW w:w="605" w:type="pct"/>
            <w:shd w:val="clear" w:color="auto" w:fill="auto"/>
            <w:vAlign w:val="center"/>
          </w:tcPr>
          <w:p>
            <w:pPr>
              <w:spacing w:line="240" w:lineRule="atLeast"/>
              <w:rPr>
                <w:rFonts w:ascii="仿宋" w:hAnsi="仿宋" w:eastAsia="仿宋" w:cs="仿宋"/>
                <w:highlight w:val="none"/>
              </w:rPr>
            </w:pPr>
          </w:p>
        </w:tc>
        <w:tc>
          <w:tcPr>
            <w:tcW w:w="757" w:type="pct"/>
            <w:shd w:val="clear" w:color="auto" w:fill="auto"/>
            <w:vAlign w:val="center"/>
          </w:tcPr>
          <w:p>
            <w:pPr>
              <w:spacing w:line="240" w:lineRule="atLeast"/>
              <w:rPr>
                <w:rFonts w:ascii="仿宋" w:hAnsi="仿宋" w:eastAsia="仿宋" w:cs="仿宋"/>
                <w:highlight w:val="none"/>
              </w:rPr>
            </w:pPr>
          </w:p>
        </w:tc>
        <w:tc>
          <w:tcPr>
            <w:tcW w:w="682" w:type="pct"/>
            <w:shd w:val="clear" w:color="auto" w:fill="auto"/>
            <w:vAlign w:val="center"/>
          </w:tcPr>
          <w:p>
            <w:pPr>
              <w:spacing w:line="240" w:lineRule="atLeast"/>
              <w:rPr>
                <w:rFonts w:ascii="仿宋" w:hAnsi="仿宋" w:eastAsia="仿宋" w:cs="仿宋"/>
                <w:highlight w:val="none"/>
              </w:rPr>
            </w:pPr>
          </w:p>
        </w:tc>
        <w:tc>
          <w:tcPr>
            <w:tcW w:w="529" w:type="pct"/>
            <w:shd w:val="clear" w:color="auto" w:fill="auto"/>
            <w:vAlign w:val="center"/>
          </w:tcPr>
          <w:p>
            <w:pPr>
              <w:spacing w:line="240" w:lineRule="atLeast"/>
              <w:rPr>
                <w:rFonts w:ascii="仿宋" w:hAnsi="仿宋" w:eastAsia="仿宋" w:cs="仿宋"/>
                <w:highlight w:val="none"/>
              </w:rPr>
            </w:pPr>
          </w:p>
        </w:tc>
        <w:tc>
          <w:tcPr>
            <w:tcW w:w="697" w:type="pct"/>
            <w:shd w:val="clear" w:color="auto" w:fill="auto"/>
            <w:vAlign w:val="center"/>
          </w:tcPr>
          <w:p>
            <w:pPr>
              <w:spacing w:line="240" w:lineRule="atLeas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4" w:type="pct"/>
            <w:shd w:val="clear" w:color="auto" w:fill="auto"/>
            <w:vAlign w:val="center"/>
          </w:tcPr>
          <w:p>
            <w:pPr>
              <w:spacing w:line="240" w:lineRule="atLeast"/>
              <w:rPr>
                <w:rFonts w:ascii="仿宋" w:hAnsi="仿宋" w:eastAsia="仿宋" w:cs="仿宋"/>
                <w:highlight w:val="none"/>
              </w:rPr>
            </w:pPr>
          </w:p>
        </w:tc>
        <w:tc>
          <w:tcPr>
            <w:tcW w:w="1294" w:type="pct"/>
            <w:shd w:val="clear" w:color="auto" w:fill="auto"/>
            <w:vAlign w:val="center"/>
          </w:tcPr>
          <w:p>
            <w:pPr>
              <w:spacing w:line="240" w:lineRule="atLeast"/>
              <w:rPr>
                <w:rFonts w:ascii="仿宋" w:hAnsi="仿宋" w:eastAsia="仿宋" w:cs="仿宋"/>
                <w:highlight w:val="none"/>
              </w:rPr>
            </w:pPr>
          </w:p>
        </w:tc>
        <w:tc>
          <w:tcPr>
            <w:tcW w:w="605" w:type="pct"/>
            <w:shd w:val="clear" w:color="auto" w:fill="auto"/>
            <w:vAlign w:val="center"/>
          </w:tcPr>
          <w:p>
            <w:pPr>
              <w:spacing w:line="240" w:lineRule="atLeast"/>
              <w:rPr>
                <w:rFonts w:ascii="仿宋" w:hAnsi="仿宋" w:eastAsia="仿宋" w:cs="仿宋"/>
                <w:highlight w:val="none"/>
              </w:rPr>
            </w:pPr>
          </w:p>
        </w:tc>
        <w:tc>
          <w:tcPr>
            <w:tcW w:w="757" w:type="pct"/>
            <w:shd w:val="clear" w:color="auto" w:fill="auto"/>
            <w:vAlign w:val="center"/>
          </w:tcPr>
          <w:p>
            <w:pPr>
              <w:spacing w:line="240" w:lineRule="atLeast"/>
              <w:rPr>
                <w:rFonts w:ascii="仿宋" w:hAnsi="仿宋" w:eastAsia="仿宋" w:cs="仿宋"/>
                <w:highlight w:val="none"/>
              </w:rPr>
            </w:pPr>
          </w:p>
        </w:tc>
        <w:tc>
          <w:tcPr>
            <w:tcW w:w="682" w:type="pct"/>
            <w:shd w:val="clear" w:color="auto" w:fill="auto"/>
            <w:vAlign w:val="center"/>
          </w:tcPr>
          <w:p>
            <w:pPr>
              <w:spacing w:line="240" w:lineRule="atLeast"/>
              <w:rPr>
                <w:rFonts w:ascii="仿宋" w:hAnsi="仿宋" w:eastAsia="仿宋" w:cs="仿宋"/>
                <w:highlight w:val="none"/>
              </w:rPr>
            </w:pPr>
          </w:p>
        </w:tc>
        <w:tc>
          <w:tcPr>
            <w:tcW w:w="529" w:type="pct"/>
            <w:shd w:val="clear" w:color="auto" w:fill="auto"/>
            <w:vAlign w:val="center"/>
          </w:tcPr>
          <w:p>
            <w:pPr>
              <w:spacing w:line="240" w:lineRule="atLeast"/>
              <w:rPr>
                <w:rFonts w:ascii="仿宋" w:hAnsi="仿宋" w:eastAsia="仿宋" w:cs="仿宋"/>
                <w:highlight w:val="none"/>
              </w:rPr>
            </w:pPr>
          </w:p>
        </w:tc>
        <w:tc>
          <w:tcPr>
            <w:tcW w:w="697" w:type="pct"/>
            <w:shd w:val="clear" w:color="auto" w:fill="auto"/>
            <w:vAlign w:val="center"/>
          </w:tcPr>
          <w:p>
            <w:pPr>
              <w:spacing w:line="240" w:lineRule="atLeas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pPr>
              <w:spacing w:line="240" w:lineRule="atLeast"/>
              <w:rPr>
                <w:rFonts w:ascii="仿宋" w:hAnsi="仿宋" w:eastAsia="仿宋" w:cs="仿宋"/>
                <w:highlight w:val="none"/>
              </w:rPr>
            </w:pPr>
            <w:r>
              <w:rPr>
                <w:rFonts w:hint="eastAsia" w:ascii="仿宋" w:hAnsi="仿宋" w:eastAsia="仿宋" w:cs="仿宋"/>
                <w:kern w:val="0"/>
                <w:sz w:val="24"/>
                <w:szCs w:val="24"/>
                <w:highlight w:val="none"/>
              </w:rPr>
              <w:t>合计人民币金额（大写）：                          （小写）：            元</w:t>
            </w:r>
          </w:p>
        </w:tc>
      </w:tr>
    </w:tbl>
    <w:p>
      <w:pPr>
        <w:pStyle w:val="3"/>
        <w:suppressAutoHyphens/>
        <w:adjustRightInd w:val="0"/>
        <w:snapToGrid w:val="0"/>
        <w:spacing w:after="0" w:line="240" w:lineRule="atLeast"/>
        <w:rPr>
          <w:rFonts w:ascii="仿宋" w:hAnsi="仿宋" w:eastAsia="仿宋" w:cs="仿宋"/>
          <w:highlight w:val="none"/>
        </w:rPr>
      </w:pPr>
    </w:p>
    <w:p>
      <w:pPr>
        <w:pStyle w:val="3"/>
        <w:suppressAutoHyphens/>
        <w:adjustRightInd w:val="0"/>
        <w:snapToGrid w:val="0"/>
        <w:spacing w:after="0" w:line="240" w:lineRule="atLeast"/>
        <w:rPr>
          <w:rFonts w:ascii="仿宋" w:hAnsi="仿宋" w:eastAsia="仿宋" w:cs="仿宋"/>
          <w:b/>
          <w:kern w:val="0"/>
          <w:sz w:val="24"/>
          <w:highlight w:val="none"/>
        </w:rPr>
      </w:pPr>
      <w:r>
        <w:rPr>
          <w:rFonts w:hint="eastAsia" w:ascii="仿宋" w:hAnsi="仿宋" w:eastAsia="仿宋" w:cs="仿宋"/>
          <w:b/>
          <w:kern w:val="0"/>
          <w:sz w:val="24"/>
          <w:highlight w:val="none"/>
        </w:rPr>
        <w:t>第二条 合同价款：</w:t>
      </w:r>
    </w:p>
    <w:p>
      <w:pPr>
        <w:spacing w:line="240" w:lineRule="atLeast"/>
        <w:ind w:firstLine="484" w:firstLineChars="200"/>
        <w:rPr>
          <w:rFonts w:ascii="仿宋" w:hAnsi="仿宋" w:eastAsia="仿宋" w:cs="仿宋"/>
          <w:kern w:val="0"/>
          <w:sz w:val="24"/>
          <w:highlight w:val="none"/>
        </w:rPr>
      </w:pPr>
      <w:r>
        <w:rPr>
          <w:rFonts w:hint="eastAsia" w:ascii="仿宋" w:hAnsi="仿宋" w:eastAsia="仿宋" w:cs="仿宋"/>
          <w:kern w:val="0"/>
          <w:sz w:val="24"/>
          <w:highlight w:val="none"/>
        </w:rPr>
        <w:t>合同单价人民币金额   圆整（¥    ） 总价款为人民币     圆整（¥    ）。本合同总价款包括送货、搬运、装柜、上锁、验收抽样送检等全部费用。</w:t>
      </w:r>
    </w:p>
    <w:p>
      <w:pPr>
        <w:widowControl/>
        <w:suppressAutoHyphens/>
        <w:spacing w:line="240" w:lineRule="atLeast"/>
        <w:textAlignment w:val="center"/>
        <w:rPr>
          <w:rFonts w:hint="eastAsia" w:ascii="仿宋" w:hAnsi="仿宋" w:eastAsia="仿宋" w:cs="仿宋"/>
          <w:b/>
          <w:kern w:val="0"/>
          <w:sz w:val="24"/>
          <w:szCs w:val="24"/>
          <w:highlight w:val="none"/>
        </w:rPr>
      </w:pPr>
    </w:p>
    <w:p>
      <w:pPr>
        <w:widowControl/>
        <w:suppressAutoHyphens/>
        <w:spacing w:line="240" w:lineRule="atLeas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第三条 货物交付时间、方式、地点和费用：</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highlight w:val="none"/>
        </w:rPr>
        <w:t>全部货物于**年**月**日前生产完毕，并按采购方要求时间运到哈尔滨工程大</w:t>
      </w:r>
      <w:r>
        <w:rPr>
          <w:rFonts w:hint="eastAsia" w:ascii="仿宋" w:hAnsi="仿宋" w:eastAsia="仿宋" w:cs="宋体"/>
          <w:kern w:val="0"/>
          <w:sz w:val="24"/>
          <w:highlight w:val="none"/>
        </w:rPr>
        <w:t>学校内指定位置装柜上锁完毕，费用由卖方负担（含运输、搬运、税金等一切费用）。迟延交货壹天，需交纳总合同额千分之一的滞纳金</w:t>
      </w:r>
      <w:r>
        <w:rPr>
          <w:rFonts w:hint="eastAsia" w:ascii="仿宋" w:hAnsi="仿宋" w:eastAsia="仿宋" w:cs="仿宋"/>
          <w:kern w:val="0"/>
          <w:sz w:val="24"/>
          <w:szCs w:val="24"/>
          <w:highlight w:val="none"/>
        </w:rPr>
        <w:t>。</w:t>
      </w:r>
    </w:p>
    <w:p>
      <w:pPr>
        <w:widowControl/>
        <w:suppressAutoHyphens/>
        <w:spacing w:line="240" w:lineRule="atLeast"/>
        <w:textAlignment w:val="center"/>
        <w:rPr>
          <w:rFonts w:ascii="仿宋" w:hAnsi="仿宋" w:eastAsia="仿宋" w:cs="仿宋"/>
          <w:b/>
          <w:bCs/>
          <w:sz w:val="24"/>
          <w:szCs w:val="24"/>
          <w:highlight w:val="none"/>
        </w:rPr>
      </w:pPr>
    </w:p>
    <w:p>
      <w:pPr>
        <w:widowControl/>
        <w:suppressAutoHyphens/>
        <w:spacing w:line="240" w:lineRule="atLeast"/>
        <w:textAlignment w:val="center"/>
        <w:rPr>
          <w:rFonts w:ascii="仿宋" w:hAnsi="仿宋" w:eastAsia="仿宋" w:cs="仿宋"/>
          <w:b/>
          <w:bCs/>
          <w:sz w:val="24"/>
          <w:highlight w:val="none"/>
        </w:rPr>
      </w:pPr>
      <w:r>
        <w:rPr>
          <w:rFonts w:hint="eastAsia" w:ascii="仿宋" w:hAnsi="仿宋" w:eastAsia="仿宋" w:cs="仿宋"/>
          <w:b/>
          <w:bCs/>
          <w:sz w:val="24"/>
          <w:szCs w:val="24"/>
          <w:highlight w:val="none"/>
        </w:rPr>
        <w:t>第四条 质量标准：</w:t>
      </w:r>
    </w:p>
    <w:p>
      <w:pPr>
        <w:spacing w:line="240" w:lineRule="atLeast"/>
        <w:ind w:firstLine="484" w:firstLineChars="200"/>
        <w:rPr>
          <w:rFonts w:ascii="仿宋" w:hAnsi="仿宋" w:eastAsia="仿宋" w:cs="仿宋"/>
          <w:sz w:val="24"/>
          <w:szCs w:val="24"/>
          <w:highlight w:val="none"/>
        </w:rPr>
      </w:pPr>
      <w:r>
        <w:rPr>
          <w:rFonts w:hint="eastAsia" w:ascii="仿宋" w:hAnsi="仿宋" w:eastAsia="仿宋" w:cs="仿宋"/>
          <w:sz w:val="24"/>
          <w:szCs w:val="24"/>
          <w:highlight w:val="none"/>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uppressAutoHyphens/>
        <w:snapToGrid w:val="0"/>
        <w:spacing w:line="240" w:lineRule="atLeast"/>
        <w:rPr>
          <w:rFonts w:ascii="仿宋" w:hAnsi="仿宋" w:eastAsia="仿宋" w:cs="仿宋"/>
          <w:sz w:val="24"/>
          <w:highlight w:val="none"/>
        </w:rPr>
      </w:pPr>
      <w:r>
        <w:rPr>
          <w:rFonts w:hint="eastAsia" w:ascii="仿宋" w:hAnsi="仿宋" w:eastAsia="仿宋" w:cs="仿宋"/>
          <w:b/>
          <w:kern w:val="0"/>
          <w:sz w:val="24"/>
          <w:szCs w:val="24"/>
          <w:highlight w:val="none"/>
        </w:rPr>
        <w:t>第五条 质保及维修：</w:t>
      </w:r>
    </w:p>
    <w:p>
      <w:pPr>
        <w:widowControl/>
        <w:suppressAutoHyphens/>
        <w:spacing w:line="240" w:lineRule="atLeast"/>
        <w:ind w:firstLine="484" w:firstLineChars="200"/>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免费售后质保4年（从验收合格之日算起）。售后服务响应时间24小时。</w:t>
      </w:r>
    </w:p>
    <w:p>
      <w:pPr>
        <w:widowControl/>
        <w:suppressAutoHyphens/>
        <w:spacing w:before="156" w:beforeLines="50" w:line="320" w:lineRule="exact"/>
        <w:textAlignment w:val="center"/>
        <w:rPr>
          <w:rFonts w:ascii="仿宋" w:hAnsi="仿宋" w:eastAsia="仿宋" w:cs="仿宋"/>
          <w:b/>
          <w:kern w:val="0"/>
          <w:sz w:val="24"/>
          <w:highlight w:val="none"/>
        </w:rPr>
      </w:pPr>
      <w:r>
        <w:rPr>
          <w:rFonts w:ascii="仿宋" w:hAnsi="仿宋" w:eastAsia="仿宋" w:cs="仿宋"/>
          <w:b/>
          <w:kern w:val="0"/>
          <w:sz w:val="24"/>
          <w:szCs w:val="24"/>
          <w:highlight w:val="none"/>
        </w:rPr>
        <w:t>第六条</w:t>
      </w:r>
      <w:r>
        <w:rPr>
          <w:rFonts w:hint="eastAsia" w:ascii="仿宋" w:hAnsi="仿宋" w:eastAsia="仿宋" w:cs="仿宋"/>
          <w:b/>
          <w:kern w:val="0"/>
          <w:sz w:val="24"/>
          <w:szCs w:val="24"/>
          <w:highlight w:val="none"/>
        </w:rPr>
        <w:t xml:space="preserve"> 随机备品及配件的供应：</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卖方按原包供应。</w:t>
      </w:r>
    </w:p>
    <w:p>
      <w:pPr>
        <w:widowControl/>
        <w:suppressAutoHyphens/>
        <w:spacing w:before="156" w:beforeLines="50" w:line="320" w:lineRule="exac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第七条 验收标准：</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按磋商文件、响应文件、合同、封样样品验收，在交货地现场，当场拆包，检验所有配置是否为原厂原包，若非原厂原包，拒付货款。若所供货物与合同不符，需交纳总合同额30%的违约金。</w:t>
      </w:r>
    </w:p>
    <w:p>
      <w:pPr>
        <w:spacing w:line="240" w:lineRule="atLeast"/>
        <w:rPr>
          <w:rFonts w:hint="eastAsia" w:ascii="仿宋" w:hAnsi="仿宋" w:eastAsia="仿宋" w:cs="仿宋"/>
          <w:b/>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第八条 履约保证金：</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履约保证金按合同额10%缴纳，协议合同前汇入甲方指定账户，货物验收合格且发放完毕后5个工作日内甲方无息返还乙方；质保金按合同额**缴纳，合同签订后**日内汇入甲方指定账户，质保金预留**个月，无质量问题无息返还。</w:t>
      </w:r>
    </w:p>
    <w:p>
      <w:pPr>
        <w:widowControl/>
        <w:suppressAutoHyphens/>
        <w:spacing w:before="156" w:beforeLines="50" w:line="320" w:lineRule="exac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第九条 付款方式：</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1.迎新期间乙方现场售卖现场收款；2.新生通过网上购买，甲方代乙方收款，货款于新生报到完毕后，15日内由甲方向乙方支付，乙方向学生提供正规票据。</w:t>
      </w:r>
    </w:p>
    <w:p>
      <w:pPr>
        <w:spacing w:line="240" w:lineRule="atLeast"/>
        <w:rPr>
          <w:rFonts w:hint="eastAsia" w:ascii="仿宋" w:hAnsi="仿宋" w:eastAsia="仿宋" w:cs="仿宋"/>
          <w:b/>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第十条 其它约定事项：</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乙方在运输、搬运、装柜、现场销售过程中严格执行国家安全方面的相关规定，若发生人员伤亡事故，责任由卖方负责。（2）乙方保证产品质量，环保、无毒、无味，在销售销售过程中服从甲方管理，文明服务，严禁与学生发生任何冲突。（3）该系统如涉及压力仪表、安全阀等需取得质检部门出具的效验合格证明。（4）系统中如涉及压力管道、压力容器等特种设备的，需办理特种设备检验及登记手续。（5）卖方在设备安装、维修过程中如动用明火作业、布设电源线、引进易燃易爆设备等应到买方相关处室办理手续，进行审批备案。</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p>
    <w:p>
      <w:pPr>
        <w:spacing w:line="240" w:lineRule="atLeast"/>
        <w:rPr>
          <w:rFonts w:ascii="仿宋" w:hAnsi="仿宋" w:eastAsia="仿宋" w:cs="仿宋"/>
          <w:b/>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color w:val="000000" w:themeColor="text1"/>
          <w:kern w:val="0"/>
          <w:sz w:val="24"/>
          <w:szCs w:val="24"/>
          <w:highlight w:val="none"/>
          <w14:textFill>
            <w14:solidFill>
              <w14:schemeClr w14:val="tx1"/>
            </w14:solidFill>
          </w14:textFill>
        </w:rPr>
        <w:t>第十一条 违约责</w:t>
      </w:r>
      <w:r>
        <w:rPr>
          <w:rFonts w:hint="eastAsia" w:ascii="仿宋" w:hAnsi="仿宋" w:eastAsia="仿宋" w:cs="仿宋"/>
          <w:b/>
          <w:kern w:val="0"/>
          <w:sz w:val="24"/>
          <w:szCs w:val="24"/>
          <w:highlight w:val="none"/>
        </w:rPr>
        <w:t>任</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highlight w:val="none"/>
        </w:rPr>
      </w:pPr>
      <w:r>
        <w:rPr>
          <w:rFonts w:hint="eastAsia" w:ascii="仿宋" w:hAnsi="仿宋" w:eastAsia="仿宋" w:cs="仿宋"/>
          <w:b/>
          <w:kern w:val="0"/>
          <w:sz w:val="24"/>
          <w:szCs w:val="24"/>
          <w:highlight w:val="none"/>
        </w:rPr>
        <w:t>第十二条 争议解决方式：</w:t>
      </w:r>
    </w:p>
    <w:p>
      <w:pPr>
        <w:spacing w:line="240" w:lineRule="atLeast"/>
        <w:ind w:firstLine="484"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本合同在履行过程中若发生争议，由双方协商解决；协商不成，向甲方所在地人民法院提起诉讼。</w:t>
      </w:r>
    </w:p>
    <w:p>
      <w:pPr>
        <w:spacing w:line="240" w:lineRule="atLeast"/>
        <w:rPr>
          <w:rFonts w:ascii="仿宋" w:hAnsi="仿宋" w:eastAsia="仿宋" w:cs="仿宋"/>
          <w:kern w:val="0"/>
          <w:sz w:val="24"/>
          <w:szCs w:val="24"/>
          <w:highlight w:val="none"/>
        </w:rPr>
      </w:pPr>
    </w:p>
    <w:p>
      <w:pPr>
        <w:spacing w:line="240" w:lineRule="atLeast"/>
        <w:rPr>
          <w:rFonts w:ascii="仿宋" w:hAnsi="仿宋" w:eastAsia="仿宋" w:cs="仿宋"/>
          <w:sz w:val="24"/>
          <w:szCs w:val="24"/>
          <w:highlight w:val="none"/>
        </w:rPr>
      </w:pPr>
      <w:r>
        <w:rPr>
          <w:rFonts w:hint="eastAsia" w:ascii="仿宋" w:hAnsi="仿宋" w:eastAsia="仿宋" w:cs="仿宋"/>
          <w:b/>
          <w:sz w:val="24"/>
          <w:szCs w:val="24"/>
          <w:highlight w:val="none"/>
        </w:rPr>
        <w:t xml:space="preserve">第十三条 </w:t>
      </w:r>
      <w:r>
        <w:rPr>
          <w:rFonts w:hint="eastAsia" w:ascii="仿宋" w:hAnsi="仿宋" w:eastAsia="仿宋" w:cs="仿宋"/>
          <w:sz w:val="24"/>
          <w:szCs w:val="24"/>
          <w:highlight w:val="none"/>
        </w:rPr>
        <w:t>本合同一式五份，甲方持有四份，乙方持有一份，具有同等效力，经双方签字盖章后生效。</w:t>
      </w:r>
    </w:p>
    <w:p>
      <w:pPr>
        <w:spacing w:line="240" w:lineRule="atLeast"/>
        <w:rPr>
          <w:rFonts w:ascii="仿宋" w:hAnsi="仿宋" w:eastAsia="仿宋" w:cs="仿宋"/>
          <w:sz w:val="24"/>
          <w:szCs w:val="24"/>
          <w:highlight w:val="none"/>
        </w:rPr>
      </w:pPr>
    </w:p>
    <w:p>
      <w:pPr>
        <w:spacing w:line="240" w:lineRule="atLeast"/>
        <w:rPr>
          <w:rFonts w:ascii="仿宋" w:hAnsi="仿宋" w:eastAsia="仿宋" w:cs="仿宋"/>
          <w:sz w:val="24"/>
          <w:szCs w:val="24"/>
          <w:highlight w:val="none"/>
        </w:rPr>
      </w:pPr>
      <w:r>
        <w:rPr>
          <w:rFonts w:hint="eastAsia" w:ascii="仿宋" w:hAnsi="仿宋" w:eastAsia="仿宋" w:cs="仿宋"/>
          <w:b/>
          <w:sz w:val="24"/>
          <w:szCs w:val="24"/>
          <w:highlight w:val="none"/>
        </w:rPr>
        <w:t xml:space="preserve">第十四条 </w:t>
      </w:r>
      <w:r>
        <w:rPr>
          <w:rFonts w:hint="eastAsia" w:ascii="仿宋" w:hAnsi="仿宋" w:eastAsia="仿宋" w:cs="仿宋"/>
          <w:sz w:val="24"/>
          <w:szCs w:val="24"/>
          <w:highlight w:val="none"/>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highlight w:val="none"/>
        </w:rPr>
      </w:pPr>
    </w:p>
    <w:p>
      <w:pPr>
        <w:spacing w:line="440" w:lineRule="exact"/>
        <w:rPr>
          <w:rStyle w:val="42"/>
          <w:rFonts w:hint="default" w:ascii="仿宋" w:hAnsi="仿宋" w:eastAsia="仿宋" w:cs="仿宋"/>
          <w:sz w:val="24"/>
          <w:szCs w:val="24"/>
          <w:highlight w:val="none"/>
        </w:rPr>
      </w:pPr>
      <w:r>
        <w:rPr>
          <w:rFonts w:hint="eastAsia" w:ascii="仿宋" w:hAnsi="仿宋" w:eastAsia="仿宋" w:cs="仿宋"/>
          <w:b/>
          <w:kern w:val="0"/>
          <w:sz w:val="24"/>
          <w:szCs w:val="24"/>
          <w:highlight w:val="none"/>
        </w:rPr>
        <w:t>甲方：哈尔滨工程大学（章）                       乙方：**********</w:t>
      </w:r>
      <w:r>
        <w:rPr>
          <w:rFonts w:hint="eastAsia" w:ascii="仿宋" w:hAnsi="仿宋" w:eastAsia="仿宋" w:cs="楷体_GB2312"/>
          <w:b/>
          <w:bCs/>
          <w:kern w:val="0"/>
          <w:sz w:val="24"/>
          <w:highlight w:val="none"/>
        </w:rPr>
        <w:t>******</w:t>
      </w:r>
      <w:r>
        <w:rPr>
          <w:rStyle w:val="42"/>
          <w:rFonts w:hint="default" w:ascii="仿宋" w:hAnsi="仿宋" w:eastAsia="仿宋" w:cs="仿宋"/>
          <w:sz w:val="24"/>
          <w:szCs w:val="24"/>
          <w:highlight w:val="none"/>
        </w:rPr>
        <w:t>(章）</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开户行：</w:t>
      </w:r>
      <w:r>
        <w:rPr>
          <w:rFonts w:hint="eastAsia" w:ascii="仿宋" w:hAnsi="仿宋" w:eastAsia="仿宋" w:cs="仿宋"/>
          <w:kern w:val="0"/>
          <w:sz w:val="24"/>
          <w:szCs w:val="24"/>
          <w:highlight w:val="none"/>
        </w:rPr>
        <w:t xml:space="preserve">中国工商银行股份有限公司哈尔滨宣桥支行   </w:t>
      </w:r>
      <w:r>
        <w:rPr>
          <w:rFonts w:hint="eastAsia" w:ascii="仿宋" w:hAnsi="仿宋" w:eastAsia="仿宋" w:cs="仿宋"/>
          <w:b/>
          <w:kern w:val="0"/>
          <w:sz w:val="24"/>
          <w:szCs w:val="24"/>
          <w:highlight w:val="none"/>
        </w:rPr>
        <w:t>开户行：********</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帐号：</w:t>
      </w:r>
      <w:r>
        <w:rPr>
          <w:rFonts w:hint="eastAsia" w:ascii="仿宋" w:hAnsi="仿宋" w:eastAsia="仿宋" w:cs="仿宋"/>
          <w:kern w:val="0"/>
          <w:sz w:val="24"/>
          <w:szCs w:val="24"/>
          <w:highlight w:val="none"/>
        </w:rPr>
        <w:t xml:space="preserve">3500040709008802226                        </w:t>
      </w:r>
      <w:r>
        <w:rPr>
          <w:rFonts w:hint="eastAsia" w:ascii="仿宋" w:hAnsi="仿宋" w:eastAsia="仿宋" w:cs="仿宋"/>
          <w:b/>
          <w:kern w:val="0"/>
          <w:sz w:val="24"/>
          <w:szCs w:val="24"/>
          <w:highlight w:val="none"/>
        </w:rPr>
        <w:t>帐号：********</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税号：</w:t>
      </w:r>
      <w:r>
        <w:rPr>
          <w:rFonts w:hint="eastAsia" w:ascii="仿宋" w:hAnsi="仿宋" w:eastAsia="仿宋" w:cs="仿宋"/>
          <w:kern w:val="0"/>
          <w:sz w:val="24"/>
          <w:szCs w:val="24"/>
          <w:highlight w:val="none"/>
        </w:rPr>
        <w:t xml:space="preserve">12100000424006211L                        </w:t>
      </w:r>
      <w:r>
        <w:rPr>
          <w:rFonts w:hint="eastAsia" w:ascii="仿宋" w:hAnsi="仿宋" w:eastAsia="仿宋" w:cs="仿宋"/>
          <w:b/>
          <w:kern w:val="0"/>
          <w:sz w:val="24"/>
          <w:szCs w:val="24"/>
          <w:highlight w:val="none"/>
        </w:rPr>
        <w:t>税号：</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法定代表人（委托代理人）：                       法定代表人：     </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项目负责人：                                     委托代理人：</w:t>
      </w:r>
    </w:p>
    <w:p>
      <w:pPr>
        <w:spacing w:line="44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                         </w:t>
      </w:r>
      <w:r>
        <w:rPr>
          <w:rFonts w:hint="eastAsia" w:ascii="仿宋" w:hAnsi="仿宋" w:eastAsia="仿宋" w:cs="仿宋"/>
          <w:kern w:val="0"/>
          <w:sz w:val="24"/>
          <w:szCs w:val="24"/>
          <w:highlight w:val="none"/>
        </w:rPr>
        <w:t xml:space="preserve">年  月  日 </w:t>
      </w:r>
      <w:r>
        <w:rPr>
          <w:rFonts w:hint="eastAsia" w:ascii="仿宋" w:hAnsi="仿宋" w:eastAsia="仿宋" w:cs="仿宋"/>
          <w:b/>
          <w:kern w:val="0"/>
          <w:sz w:val="24"/>
          <w:szCs w:val="24"/>
          <w:highlight w:val="none"/>
        </w:rPr>
        <w:t xml:space="preserve">                     </w:t>
      </w:r>
      <w:r>
        <w:rPr>
          <w:rFonts w:hint="eastAsia" w:ascii="仿宋" w:hAnsi="仿宋" w:eastAsia="仿宋" w:cs="仿宋"/>
          <w:kern w:val="0"/>
          <w:sz w:val="24"/>
          <w:szCs w:val="24"/>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napToGrid w:val="0"/>
        <w:spacing w:line="360" w:lineRule="auto"/>
        <w:ind w:left="450"/>
        <w:jc w:val="center"/>
        <w:rPr>
          <w:rFonts w:eastAsia="黑体"/>
          <w:sz w:val="36"/>
          <w:szCs w:val="36"/>
          <w:highlight w:val="none"/>
        </w:rPr>
      </w:pPr>
    </w:p>
    <w:p>
      <w:pPr>
        <w:snapToGrid w:val="0"/>
        <w:spacing w:line="360" w:lineRule="auto"/>
        <w:ind w:left="450"/>
        <w:jc w:val="center"/>
        <w:rPr>
          <w:rFonts w:eastAsia="黑体"/>
          <w:sz w:val="36"/>
          <w:szCs w:val="36"/>
          <w:highlight w:val="none"/>
        </w:rPr>
      </w:pPr>
    </w:p>
    <w:p>
      <w:pPr>
        <w:snapToGrid w:val="0"/>
        <w:spacing w:line="360" w:lineRule="auto"/>
        <w:ind w:left="450"/>
        <w:jc w:val="center"/>
        <w:outlineLvl w:val="0"/>
        <w:rPr>
          <w:rFonts w:eastAsia="黑体"/>
          <w:sz w:val="36"/>
          <w:szCs w:val="36"/>
          <w:highlight w:val="none"/>
        </w:rPr>
      </w:pPr>
      <w:bookmarkStart w:id="60" w:name="_Toc13827"/>
      <w:bookmarkStart w:id="61" w:name="_Toc14386"/>
      <w:r>
        <w:rPr>
          <w:rFonts w:eastAsia="黑体"/>
          <w:sz w:val="36"/>
          <w:szCs w:val="36"/>
          <w:highlight w:val="none"/>
        </w:rPr>
        <w:t>第</w:t>
      </w:r>
      <w:r>
        <w:rPr>
          <w:rFonts w:hint="eastAsia" w:eastAsia="黑体"/>
          <w:sz w:val="36"/>
          <w:szCs w:val="36"/>
          <w:highlight w:val="none"/>
        </w:rPr>
        <w:t>五</w:t>
      </w:r>
      <w:r>
        <w:rPr>
          <w:rFonts w:eastAsia="黑体"/>
          <w:sz w:val="36"/>
          <w:szCs w:val="36"/>
          <w:highlight w:val="none"/>
        </w:rPr>
        <w:t>部分  响应文件格式及附件</w:t>
      </w:r>
      <w:bookmarkEnd w:id="60"/>
      <w:bookmarkEnd w:id="61"/>
    </w:p>
    <w:p>
      <w:pPr>
        <w:snapToGrid w:val="0"/>
        <w:spacing w:line="360" w:lineRule="auto"/>
        <w:ind w:firstLine="527" w:firstLineChars="218"/>
        <w:rPr>
          <w:rFonts w:eastAsia="黑体"/>
          <w:sz w:val="24"/>
          <w:highlight w:val="none"/>
        </w:rPr>
      </w:pPr>
      <w:r>
        <w:rPr>
          <w:rFonts w:hint="eastAsia" w:eastAsia="黑体"/>
          <w:sz w:val="24"/>
          <w:highlight w:val="none"/>
        </w:rPr>
        <w:t>《响应文件格式》是参加磋商活动供应商的部分响应文件格式，请参照这些格式编制响应文件。</w:t>
      </w:r>
    </w:p>
    <w:p>
      <w:pPr>
        <w:widowControl/>
        <w:jc w:val="center"/>
        <w:rPr>
          <w:rFonts w:hint="eastAsia" w:ascii="宋体" w:hAnsi="宋体" w:eastAsia="宋体" w:cs="宋体"/>
          <w:b/>
          <w:bCs w:val="0"/>
          <w:sz w:val="36"/>
          <w:szCs w:val="36"/>
          <w:highlight w:val="none"/>
        </w:rPr>
      </w:pPr>
      <w:r>
        <w:rPr>
          <w:rFonts w:eastAsia="黑体"/>
          <w:sz w:val="36"/>
          <w:szCs w:val="36"/>
          <w:highlight w:val="none"/>
        </w:rPr>
        <w:br w:type="page"/>
      </w:r>
      <w:r>
        <w:rPr>
          <w:rFonts w:hint="eastAsia" w:ascii="宋体" w:hAnsi="宋体" w:eastAsia="宋体" w:cs="宋体"/>
          <w:b/>
          <w:bCs w:val="0"/>
          <w:sz w:val="36"/>
          <w:szCs w:val="36"/>
          <w:highlight w:val="none"/>
        </w:rPr>
        <w:t>1、响应文件封面格式</w:t>
      </w:r>
    </w:p>
    <w:p>
      <w:pPr>
        <w:widowControl/>
        <w:jc w:val="center"/>
        <w:rPr>
          <w:rFonts w:eastAsia="黑体"/>
          <w:sz w:val="36"/>
          <w:szCs w:val="36"/>
          <w:highlight w:val="none"/>
        </w:rPr>
      </w:pPr>
    </w:p>
    <w:p>
      <w:pPr>
        <w:widowControl/>
        <w:jc w:val="center"/>
        <w:rPr>
          <w:rFonts w:eastAsia="黑体"/>
          <w:b/>
          <w:sz w:val="84"/>
          <w:szCs w:val="84"/>
          <w:highlight w:val="none"/>
        </w:rPr>
      </w:pPr>
      <w:r>
        <w:rPr>
          <w:rFonts w:hint="eastAsia" w:eastAsia="黑体"/>
          <w:b/>
          <w:sz w:val="84"/>
          <w:szCs w:val="84"/>
          <w:highlight w:val="none"/>
        </w:rPr>
        <w:t>政 府 采 购</w:t>
      </w:r>
    </w:p>
    <w:p>
      <w:pPr>
        <w:widowControl/>
        <w:jc w:val="center"/>
        <w:rPr>
          <w:rFonts w:eastAsia="黑体"/>
          <w:b/>
          <w:sz w:val="84"/>
          <w:szCs w:val="84"/>
          <w:highlight w:val="none"/>
        </w:rPr>
      </w:pPr>
      <w:r>
        <w:rPr>
          <w:rFonts w:hint="eastAsia" w:eastAsia="黑体"/>
          <w:b/>
          <w:sz w:val="84"/>
          <w:szCs w:val="84"/>
          <w:highlight w:val="none"/>
        </w:rPr>
        <w:t>响 应 文 件</w:t>
      </w:r>
    </w:p>
    <w:p>
      <w:pPr>
        <w:widowControl/>
        <w:jc w:val="center"/>
        <w:rPr>
          <w:rFonts w:eastAsia="黑体"/>
          <w:sz w:val="36"/>
          <w:szCs w:val="36"/>
          <w:highlight w:val="none"/>
        </w:rPr>
      </w:pPr>
    </w:p>
    <w:p>
      <w:pPr>
        <w:widowControl/>
        <w:ind w:firstLine="2567" w:firstLineChars="850"/>
        <w:rPr>
          <w:rFonts w:eastAsia="黑体"/>
          <w:b/>
          <w:sz w:val="30"/>
          <w:szCs w:val="30"/>
          <w:highlight w:val="none"/>
        </w:rPr>
      </w:pPr>
      <w:r>
        <w:rPr>
          <w:rFonts w:hint="eastAsia" w:eastAsia="黑体"/>
          <w:b/>
          <w:sz w:val="30"/>
          <w:szCs w:val="30"/>
          <w:highlight w:val="none"/>
        </w:rPr>
        <w:t xml:space="preserve">项目名称：  </w:t>
      </w:r>
    </w:p>
    <w:p>
      <w:pPr>
        <w:widowControl/>
        <w:ind w:firstLine="2567" w:firstLineChars="850"/>
        <w:rPr>
          <w:rFonts w:eastAsia="黑体"/>
          <w:b/>
          <w:sz w:val="30"/>
          <w:szCs w:val="30"/>
          <w:highlight w:val="none"/>
        </w:rPr>
      </w:pPr>
      <w:r>
        <w:rPr>
          <w:rFonts w:hint="eastAsia" w:eastAsia="黑体"/>
          <w:b/>
          <w:sz w:val="30"/>
          <w:szCs w:val="30"/>
          <w:highlight w:val="none"/>
        </w:rPr>
        <w:t xml:space="preserve">项目编号：  </w:t>
      </w: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spacing w:line="480" w:lineRule="auto"/>
        <w:ind w:firstLine="363" w:firstLineChars="150"/>
        <w:rPr>
          <w:rFonts w:eastAsia="黑体"/>
          <w:b/>
          <w:sz w:val="24"/>
          <w:highlight w:val="none"/>
        </w:rPr>
      </w:pPr>
      <w:r>
        <w:rPr>
          <w:rFonts w:hint="eastAsia" w:eastAsia="黑体"/>
          <w:b/>
          <w:sz w:val="24"/>
          <w:highlight w:val="none"/>
        </w:rPr>
        <w:t>报价单位：（公章）</w:t>
      </w:r>
    </w:p>
    <w:p>
      <w:pPr>
        <w:widowControl/>
        <w:spacing w:line="480" w:lineRule="auto"/>
        <w:ind w:firstLine="363" w:firstLineChars="150"/>
        <w:rPr>
          <w:rFonts w:eastAsia="黑体"/>
          <w:b/>
          <w:sz w:val="24"/>
          <w:highlight w:val="none"/>
        </w:rPr>
      </w:pPr>
      <w:r>
        <w:rPr>
          <w:rFonts w:hint="eastAsia" w:eastAsia="黑体"/>
          <w:b/>
          <w:sz w:val="24"/>
          <w:highlight w:val="none"/>
        </w:rPr>
        <w:t xml:space="preserve">法定代表人或授权代表：                 </w:t>
      </w:r>
    </w:p>
    <w:p>
      <w:pPr>
        <w:widowControl/>
        <w:spacing w:line="480" w:lineRule="auto"/>
        <w:ind w:firstLine="363" w:firstLineChars="150"/>
        <w:rPr>
          <w:rFonts w:eastAsia="黑体"/>
          <w:b/>
          <w:sz w:val="24"/>
          <w:highlight w:val="none"/>
        </w:rPr>
      </w:pPr>
      <w:r>
        <w:rPr>
          <w:rFonts w:hint="eastAsia" w:eastAsia="黑体"/>
          <w:b/>
          <w:sz w:val="24"/>
          <w:highlight w:val="none"/>
        </w:rPr>
        <w:t>电    话：</w:t>
      </w:r>
    </w:p>
    <w:p>
      <w:pPr>
        <w:widowControl/>
        <w:spacing w:line="480" w:lineRule="auto"/>
        <w:ind w:firstLine="363" w:firstLineChars="150"/>
        <w:rPr>
          <w:rFonts w:eastAsia="黑体"/>
          <w:b/>
          <w:sz w:val="24"/>
          <w:highlight w:val="none"/>
        </w:rPr>
      </w:pPr>
      <w:r>
        <w:rPr>
          <w:rFonts w:hint="eastAsia" w:eastAsia="黑体"/>
          <w:b/>
          <w:sz w:val="24"/>
          <w:highlight w:val="none"/>
        </w:rPr>
        <w:t>磋商日期：</w:t>
      </w:r>
    </w:p>
    <w:p>
      <w:pPr>
        <w:snapToGrid w:val="0"/>
        <w:spacing w:line="360" w:lineRule="auto"/>
        <w:ind w:left="450"/>
        <w:jc w:val="center"/>
        <w:rPr>
          <w:rFonts w:eastAsia="黑体"/>
          <w:sz w:val="36"/>
          <w:szCs w:val="36"/>
          <w:highlight w:val="none"/>
        </w:rPr>
      </w:pPr>
    </w:p>
    <w:p>
      <w:pPr>
        <w:snapToGrid w:val="0"/>
        <w:spacing w:line="360" w:lineRule="auto"/>
        <w:ind w:left="450"/>
        <w:jc w:val="center"/>
        <w:rPr>
          <w:rFonts w:eastAsia="黑体"/>
          <w:sz w:val="36"/>
          <w:szCs w:val="36"/>
          <w:highlight w:val="none"/>
        </w:rPr>
      </w:pPr>
    </w:p>
    <w:p>
      <w:pPr>
        <w:snapToGrid w:val="0"/>
        <w:spacing w:line="360" w:lineRule="auto"/>
        <w:ind w:left="450"/>
        <w:jc w:val="center"/>
        <w:rPr>
          <w:rFonts w:ascii="黑体" w:hAnsi="宋体" w:eastAsia="黑体"/>
          <w:bCs/>
          <w:sz w:val="24"/>
          <w:highlight w:val="none"/>
        </w:rPr>
      </w:pPr>
      <w:r>
        <w:rPr>
          <w:rFonts w:hint="eastAsia" w:ascii="黑体" w:hAnsi="宋体" w:eastAsia="黑体"/>
          <w:bCs/>
          <w:sz w:val="24"/>
          <w:highlight w:val="none"/>
        </w:rPr>
        <w:br w:type="page"/>
      </w:r>
    </w:p>
    <w:p>
      <w:pPr>
        <w:snapToGrid w:val="0"/>
        <w:spacing w:line="360" w:lineRule="auto"/>
        <w:ind w:left="450"/>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2、报  价  书</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(代理机构名称)</w:t>
      </w:r>
    </w:p>
    <w:p>
      <w:pPr>
        <w:pStyle w:val="2"/>
        <w:rPr>
          <w:rFonts w:hint="eastAsia"/>
        </w:rPr>
      </w:pPr>
    </w:p>
    <w:p>
      <w:pPr>
        <w:snapToGrid w:val="0"/>
        <w:spacing w:line="480" w:lineRule="auto"/>
        <w:ind w:firstLine="424"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(项目名称)</w:t>
      </w:r>
      <w:r>
        <w:rPr>
          <w:rFonts w:hint="eastAsia" w:ascii="宋体" w:hAnsi="宋体" w:eastAsia="宋体" w:cs="宋体"/>
          <w:sz w:val="21"/>
          <w:szCs w:val="21"/>
          <w:highlight w:val="none"/>
        </w:rPr>
        <w:t>项目竞争性磋商采购的磋商邀请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lang w:eastAsia="zh-CN"/>
        </w:rPr>
        <w:t>项目编号</w:t>
      </w:r>
      <w:r>
        <w:rPr>
          <w:rFonts w:hint="eastAsia" w:ascii="宋体" w:hAnsi="宋体" w:eastAsia="宋体" w:cs="宋体"/>
          <w:sz w:val="21"/>
          <w:szCs w:val="21"/>
          <w:highlight w:val="none"/>
          <w:u w:val="none"/>
        </w:rPr>
        <w:t>编号)</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(姓名、职务)经正式授权并代表供应商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(供应商名称、地址)</w:t>
      </w:r>
      <w:r>
        <w:rPr>
          <w:rFonts w:hint="eastAsia" w:ascii="宋体" w:hAnsi="宋体" w:eastAsia="宋体" w:cs="宋体"/>
          <w:sz w:val="21"/>
          <w:szCs w:val="21"/>
          <w:highlight w:val="none"/>
        </w:rPr>
        <w:t>提交下述文件正本一份及副本四份:</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80" w:lineRule="auto"/>
        <w:ind w:firstLine="636"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供应商将按竞争性磋商文件的规定履行合同责任和义务。</w:t>
      </w:r>
    </w:p>
    <w:p>
      <w:pPr>
        <w:snapToGrid w:val="0"/>
        <w:spacing w:line="480" w:lineRule="auto"/>
        <w:ind w:firstLine="636" w:firstLineChars="3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报价货物的单套价格为：（大写）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小</w:t>
      </w:r>
      <w:r>
        <w:rPr>
          <w:rFonts w:hint="eastAsia" w:ascii="宋体" w:hAnsi="宋体" w:eastAsia="宋体" w:cs="宋体"/>
          <w:sz w:val="21"/>
          <w:szCs w:val="21"/>
          <w:highlight w:val="none"/>
        </w:rPr>
        <w:t>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w:t>
      </w:r>
      <w:r>
        <w:rPr>
          <w:rFonts w:hint="eastAsia" w:ascii="宋体" w:hAnsi="宋体" w:eastAsia="宋体" w:cs="宋体"/>
          <w:sz w:val="21"/>
          <w:szCs w:val="21"/>
          <w:highlight w:val="none"/>
          <w:lang w:eastAsia="zh-CN"/>
        </w:rPr>
        <w:t>；</w:t>
      </w:r>
    </w:p>
    <w:p>
      <w:pPr>
        <w:snapToGrid w:val="0"/>
        <w:spacing w:line="480" w:lineRule="auto"/>
        <w:ind w:firstLine="848"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总价为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小</w:t>
      </w:r>
      <w:r>
        <w:rPr>
          <w:rFonts w:hint="eastAsia" w:ascii="宋体" w:hAnsi="宋体" w:eastAsia="宋体" w:cs="宋体"/>
          <w:sz w:val="21"/>
          <w:szCs w:val="21"/>
          <w:highlight w:val="none"/>
        </w:rPr>
        <w:t>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w:t>
      </w:r>
      <w:r>
        <w:rPr>
          <w:rFonts w:hint="eastAsia" w:ascii="宋体" w:hAnsi="宋体" w:eastAsia="宋体" w:cs="宋体"/>
          <w:sz w:val="21"/>
          <w:szCs w:val="21"/>
          <w:highlight w:val="none"/>
          <w:lang w:eastAsia="zh-CN"/>
        </w:rPr>
        <w:t>。</w:t>
      </w:r>
    </w:p>
    <w:p>
      <w:pPr>
        <w:snapToGrid w:val="0"/>
        <w:spacing w:line="480" w:lineRule="auto"/>
        <w:ind w:firstLine="636"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合同履行期限</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pPr>
        <w:snapToGrid w:val="0"/>
        <w:spacing w:line="480" w:lineRule="auto"/>
        <w:ind w:firstLine="636" w:firstLineChars="3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本次采购有效期为自磋商日起</w:t>
      </w:r>
      <w:r>
        <w:rPr>
          <w:rFonts w:hint="eastAsia" w:ascii="宋体" w:hAnsi="宋体" w:eastAsia="宋体" w:cs="宋体"/>
          <w:sz w:val="21"/>
          <w:szCs w:val="21"/>
          <w:highlight w:val="none"/>
          <w:u w:val="single"/>
          <w:lang w:val="en-US" w:eastAsia="zh-CN"/>
        </w:rPr>
        <w:t>120</w:t>
      </w:r>
      <w:r>
        <w:rPr>
          <w:rFonts w:hint="eastAsia" w:ascii="宋体" w:hAnsi="宋体" w:eastAsia="宋体" w:cs="宋体"/>
          <w:sz w:val="21"/>
          <w:szCs w:val="21"/>
          <w:highlight w:val="none"/>
        </w:rPr>
        <w:t>个日历日。</w:t>
      </w:r>
    </w:p>
    <w:p>
      <w:pPr>
        <w:snapToGrid w:val="0"/>
        <w:spacing w:line="480" w:lineRule="auto"/>
        <w:ind w:firstLine="636"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如果在规定的磋商时间后，供应商在采购有效期内撤回响应文件，其磋商保证金将被贵方没收。</w:t>
      </w:r>
    </w:p>
    <w:p>
      <w:pPr>
        <w:snapToGrid w:val="0"/>
        <w:spacing w:line="480" w:lineRule="auto"/>
        <w:ind w:firstLine="636" w:firstLineChars="3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供应商同意提供按照贵方可能要求的与其磋商有关的一切数据或资料。</w:t>
      </w:r>
    </w:p>
    <w:p>
      <w:pPr>
        <w:snapToGrid w:val="0"/>
        <w:spacing w:line="480" w:lineRule="auto"/>
        <w:ind w:firstLine="636" w:firstLineChars="3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与本磋商有关的一切正式往来信函请寄:</w:t>
      </w:r>
    </w:p>
    <w:p>
      <w:pPr>
        <w:snapToGrid w:val="0"/>
        <w:spacing w:line="360" w:lineRule="auto"/>
        <w:ind w:firstLine="484" w:firstLineChars="200"/>
        <w:rPr>
          <w:rFonts w:hint="eastAsia" w:ascii="宋体" w:hAnsi="宋体" w:eastAsia="宋体" w:cs="宋体"/>
          <w:sz w:val="24"/>
          <w:szCs w:val="24"/>
          <w:highlight w:val="none"/>
        </w:rPr>
      </w:pP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                                  传  真</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  话                                  电子函件</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供应商代表签字：                             </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rPr>
        <w:br w:type="page"/>
      </w:r>
      <w:r>
        <w:rPr>
          <w:rFonts w:hint="eastAsia" w:ascii="宋体" w:hAnsi="宋体" w:eastAsia="宋体" w:cs="宋体"/>
          <w:b/>
          <w:bCs w:val="0"/>
          <w:sz w:val="36"/>
          <w:szCs w:val="36"/>
          <w:highlight w:val="none"/>
        </w:rPr>
        <w:t>3、初始报价一览表</w:t>
      </w:r>
    </w:p>
    <w:p>
      <w:pPr>
        <w:snapToGrid w:val="0"/>
        <w:spacing w:line="360" w:lineRule="auto"/>
        <w:jc w:val="left"/>
        <w:rPr>
          <w:rFonts w:ascii="宋体" w:hAnsi="宋体"/>
          <w:sz w:val="24"/>
          <w:highlight w:val="none"/>
        </w:rPr>
      </w:pPr>
      <w:r>
        <w:rPr>
          <w:rFonts w:ascii="宋体" w:hAnsi="宋体"/>
          <w:sz w:val="24"/>
          <w:highlight w:val="none"/>
        </w:rPr>
        <w:t>项目名称：------------------------------</w:t>
      </w:r>
    </w:p>
    <w:p>
      <w:pPr>
        <w:snapToGrid w:val="0"/>
        <w:spacing w:line="360" w:lineRule="auto"/>
        <w:jc w:val="left"/>
        <w:rPr>
          <w:rFonts w:ascii="宋体" w:hAnsi="宋体"/>
          <w:sz w:val="24"/>
          <w:highlight w:val="none"/>
        </w:rPr>
      </w:pPr>
      <w:r>
        <w:rPr>
          <w:rFonts w:hint="eastAsia" w:ascii="宋体" w:hAnsi="宋体"/>
          <w:sz w:val="24"/>
          <w:highlight w:val="none"/>
        </w:rPr>
        <w:t>项目编号</w:t>
      </w:r>
      <w:r>
        <w:rPr>
          <w:rFonts w:ascii="宋体" w:hAnsi="宋体"/>
          <w:sz w:val="24"/>
          <w:highlight w:val="none"/>
        </w:rPr>
        <w:t>：------------------------------</w:t>
      </w:r>
    </w:p>
    <w:tbl>
      <w:tblPr>
        <w:tblStyle w:val="19"/>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519"/>
        <w:gridCol w:w="2087"/>
        <w:gridCol w:w="229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57" w:type="pct"/>
            <w:vAlign w:val="center"/>
          </w:tcPr>
          <w:p>
            <w:pPr>
              <w:snapToGrid w:val="0"/>
              <w:jc w:val="center"/>
              <w:rPr>
                <w:rFonts w:ascii="宋体" w:hAnsi="宋体"/>
                <w:sz w:val="24"/>
                <w:highlight w:val="none"/>
              </w:rPr>
            </w:pPr>
            <w:r>
              <w:rPr>
                <w:rFonts w:hint="eastAsia" w:ascii="宋体" w:hAnsi="宋体"/>
                <w:sz w:val="24"/>
                <w:highlight w:val="none"/>
              </w:rPr>
              <w:t>序</w:t>
            </w:r>
            <w:r>
              <w:rPr>
                <w:rFonts w:ascii="宋体" w:hAnsi="宋体"/>
                <w:sz w:val="24"/>
                <w:highlight w:val="none"/>
              </w:rPr>
              <w:t>号</w:t>
            </w:r>
          </w:p>
          <w:p>
            <w:pPr>
              <w:snapToGrid w:val="0"/>
              <w:jc w:val="center"/>
              <w:rPr>
                <w:rFonts w:ascii="宋体" w:hAnsi="宋体"/>
                <w:sz w:val="24"/>
                <w:highlight w:val="none"/>
              </w:rPr>
            </w:pPr>
            <w:r>
              <w:rPr>
                <w:rFonts w:ascii="宋体" w:hAnsi="宋体"/>
                <w:sz w:val="24"/>
                <w:highlight w:val="none"/>
              </w:rPr>
              <w:t>（包号）</w:t>
            </w:r>
          </w:p>
        </w:tc>
        <w:tc>
          <w:tcPr>
            <w:tcW w:w="831" w:type="pct"/>
            <w:vAlign w:val="center"/>
          </w:tcPr>
          <w:p>
            <w:pPr>
              <w:snapToGrid w:val="0"/>
              <w:jc w:val="center"/>
              <w:rPr>
                <w:rFonts w:ascii="宋体" w:hAnsi="宋体"/>
                <w:sz w:val="24"/>
                <w:highlight w:val="none"/>
              </w:rPr>
            </w:pPr>
            <w:r>
              <w:rPr>
                <w:rFonts w:hint="eastAsia" w:ascii="宋体" w:hAnsi="宋体"/>
                <w:sz w:val="24"/>
                <w:highlight w:val="none"/>
              </w:rPr>
              <w:t>货物名称</w:t>
            </w:r>
          </w:p>
        </w:tc>
        <w:tc>
          <w:tcPr>
            <w:tcW w:w="1142" w:type="pct"/>
            <w:vAlign w:val="center"/>
          </w:tcPr>
          <w:p>
            <w:pPr>
              <w:snapToGrid w:val="0"/>
              <w:jc w:val="center"/>
              <w:rPr>
                <w:rFonts w:ascii="宋体" w:hAnsi="宋体"/>
                <w:sz w:val="24"/>
                <w:highlight w:val="none"/>
              </w:rPr>
            </w:pPr>
            <w:r>
              <w:rPr>
                <w:rFonts w:ascii="宋体" w:hAnsi="宋体"/>
                <w:sz w:val="24"/>
                <w:highlight w:val="none"/>
              </w:rPr>
              <w:t>货物</w:t>
            </w:r>
            <w:r>
              <w:rPr>
                <w:rFonts w:hint="eastAsia" w:ascii="宋体" w:hAnsi="宋体"/>
                <w:sz w:val="24"/>
                <w:highlight w:val="none"/>
              </w:rPr>
              <w:t>报价</w:t>
            </w:r>
          </w:p>
          <w:p>
            <w:pPr>
              <w:snapToGrid w:val="0"/>
              <w:jc w:val="center"/>
              <w:rPr>
                <w:rFonts w:ascii="宋体" w:hAnsi="宋体"/>
                <w:sz w:val="24"/>
                <w:highlight w:val="none"/>
              </w:rPr>
            </w:pPr>
            <w:r>
              <w:rPr>
                <w:rFonts w:ascii="宋体" w:hAnsi="宋体"/>
                <w:sz w:val="24"/>
                <w:highlight w:val="none"/>
              </w:rPr>
              <w:t>价格（元）</w:t>
            </w:r>
          </w:p>
        </w:tc>
        <w:tc>
          <w:tcPr>
            <w:tcW w:w="1256" w:type="pct"/>
            <w:vAlign w:val="center"/>
          </w:tcPr>
          <w:p>
            <w:pPr>
              <w:snapToGrid w:val="0"/>
              <w:jc w:val="center"/>
              <w:rPr>
                <w:rFonts w:ascii="宋体" w:hAnsi="宋体"/>
                <w:sz w:val="24"/>
                <w:highlight w:val="none"/>
              </w:rPr>
            </w:pPr>
            <w:r>
              <w:rPr>
                <w:rFonts w:ascii="宋体" w:hAnsi="宋体"/>
                <w:sz w:val="24"/>
                <w:highlight w:val="none"/>
              </w:rPr>
              <w:t>货物市场</w:t>
            </w:r>
          </w:p>
          <w:p>
            <w:pPr>
              <w:snapToGrid w:val="0"/>
              <w:jc w:val="center"/>
              <w:rPr>
                <w:rFonts w:ascii="宋体" w:hAnsi="宋体"/>
                <w:sz w:val="24"/>
                <w:highlight w:val="none"/>
              </w:rPr>
            </w:pPr>
            <w:r>
              <w:rPr>
                <w:rFonts w:ascii="宋体" w:hAnsi="宋体"/>
                <w:sz w:val="24"/>
                <w:highlight w:val="none"/>
              </w:rPr>
              <w:t>价格（元）</w:t>
            </w:r>
          </w:p>
        </w:tc>
        <w:tc>
          <w:tcPr>
            <w:tcW w:w="1012" w:type="pct"/>
            <w:vAlign w:val="center"/>
          </w:tcPr>
          <w:p>
            <w:pPr>
              <w:snapToGrid w:val="0"/>
              <w:jc w:val="center"/>
              <w:rPr>
                <w:rFonts w:hint="eastAsia" w:ascii="宋体" w:hAnsi="宋体" w:eastAsiaTheme="minorEastAsia"/>
                <w:sz w:val="24"/>
                <w:highlight w:val="none"/>
                <w:lang w:eastAsia="zh-CN"/>
              </w:rPr>
            </w:pPr>
            <w:r>
              <w:rPr>
                <w:rFonts w:hint="eastAsia" w:ascii="宋体" w:hAnsi="宋体"/>
                <w:sz w:val="24"/>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57" w:type="pct"/>
          </w:tcPr>
          <w:p>
            <w:pPr>
              <w:snapToGrid w:val="0"/>
              <w:spacing w:line="360" w:lineRule="auto"/>
              <w:jc w:val="center"/>
              <w:rPr>
                <w:rFonts w:ascii="宋体" w:hAnsi="宋体"/>
                <w:sz w:val="24"/>
                <w:highlight w:val="none"/>
              </w:rPr>
            </w:pPr>
          </w:p>
        </w:tc>
        <w:tc>
          <w:tcPr>
            <w:tcW w:w="831" w:type="pct"/>
          </w:tcPr>
          <w:p>
            <w:pPr>
              <w:snapToGrid w:val="0"/>
              <w:spacing w:line="360" w:lineRule="auto"/>
              <w:rPr>
                <w:rFonts w:ascii="宋体" w:hAnsi="宋体"/>
                <w:sz w:val="24"/>
                <w:highlight w:val="none"/>
              </w:rPr>
            </w:pPr>
          </w:p>
        </w:tc>
        <w:tc>
          <w:tcPr>
            <w:tcW w:w="1142" w:type="pct"/>
          </w:tcPr>
          <w:p>
            <w:pPr>
              <w:snapToGrid w:val="0"/>
              <w:spacing w:line="360" w:lineRule="auto"/>
              <w:rPr>
                <w:rFonts w:ascii="宋体" w:hAnsi="宋体"/>
                <w:sz w:val="24"/>
                <w:highlight w:val="none"/>
              </w:rPr>
            </w:pPr>
          </w:p>
        </w:tc>
        <w:tc>
          <w:tcPr>
            <w:tcW w:w="1256" w:type="pct"/>
            <w:vAlign w:val="center"/>
          </w:tcPr>
          <w:p>
            <w:pPr>
              <w:snapToGrid w:val="0"/>
              <w:spacing w:line="360" w:lineRule="auto"/>
              <w:jc w:val="center"/>
              <w:rPr>
                <w:rFonts w:ascii="宋体" w:hAnsi="宋体"/>
                <w:sz w:val="24"/>
                <w:highlight w:val="none"/>
              </w:rPr>
            </w:pPr>
          </w:p>
        </w:tc>
        <w:tc>
          <w:tcPr>
            <w:tcW w:w="1012" w:type="pct"/>
            <w:vAlign w:val="center"/>
          </w:tcPr>
          <w:p>
            <w:pPr>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57" w:type="pct"/>
          </w:tcPr>
          <w:p>
            <w:pPr>
              <w:snapToGrid w:val="0"/>
              <w:spacing w:line="360" w:lineRule="auto"/>
              <w:rPr>
                <w:rFonts w:ascii="宋体" w:hAnsi="宋体"/>
                <w:sz w:val="24"/>
                <w:highlight w:val="none"/>
              </w:rPr>
            </w:pPr>
          </w:p>
        </w:tc>
        <w:tc>
          <w:tcPr>
            <w:tcW w:w="831" w:type="pct"/>
          </w:tcPr>
          <w:p>
            <w:pPr>
              <w:snapToGrid w:val="0"/>
              <w:spacing w:line="360" w:lineRule="auto"/>
              <w:rPr>
                <w:rFonts w:ascii="宋体" w:hAnsi="宋体"/>
                <w:sz w:val="24"/>
                <w:highlight w:val="none"/>
              </w:rPr>
            </w:pPr>
          </w:p>
        </w:tc>
        <w:tc>
          <w:tcPr>
            <w:tcW w:w="1142" w:type="pct"/>
          </w:tcPr>
          <w:p>
            <w:pPr>
              <w:snapToGrid w:val="0"/>
              <w:spacing w:line="360" w:lineRule="auto"/>
              <w:rPr>
                <w:rFonts w:ascii="宋体" w:hAnsi="宋体"/>
                <w:sz w:val="24"/>
                <w:highlight w:val="none"/>
              </w:rPr>
            </w:pPr>
          </w:p>
        </w:tc>
        <w:tc>
          <w:tcPr>
            <w:tcW w:w="1256" w:type="pct"/>
            <w:vAlign w:val="center"/>
          </w:tcPr>
          <w:p>
            <w:pPr>
              <w:snapToGrid w:val="0"/>
              <w:spacing w:line="360" w:lineRule="auto"/>
              <w:jc w:val="center"/>
              <w:rPr>
                <w:rFonts w:ascii="宋体" w:hAnsi="宋体"/>
                <w:sz w:val="24"/>
                <w:highlight w:val="none"/>
              </w:rPr>
            </w:pPr>
          </w:p>
        </w:tc>
        <w:tc>
          <w:tcPr>
            <w:tcW w:w="1012" w:type="pct"/>
            <w:vAlign w:val="center"/>
          </w:tcPr>
          <w:p>
            <w:pPr>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57" w:type="pct"/>
          </w:tcPr>
          <w:p>
            <w:pPr>
              <w:snapToGrid w:val="0"/>
              <w:spacing w:line="360" w:lineRule="auto"/>
              <w:rPr>
                <w:rFonts w:ascii="宋体" w:hAnsi="宋体"/>
                <w:sz w:val="24"/>
                <w:highlight w:val="none"/>
              </w:rPr>
            </w:pPr>
          </w:p>
        </w:tc>
        <w:tc>
          <w:tcPr>
            <w:tcW w:w="831" w:type="pct"/>
          </w:tcPr>
          <w:p>
            <w:pPr>
              <w:snapToGrid w:val="0"/>
              <w:spacing w:line="360" w:lineRule="auto"/>
              <w:rPr>
                <w:rFonts w:ascii="宋体" w:hAnsi="宋体"/>
                <w:sz w:val="24"/>
                <w:highlight w:val="none"/>
              </w:rPr>
            </w:pPr>
          </w:p>
        </w:tc>
        <w:tc>
          <w:tcPr>
            <w:tcW w:w="1142" w:type="pct"/>
          </w:tcPr>
          <w:p>
            <w:pPr>
              <w:snapToGrid w:val="0"/>
              <w:spacing w:line="360" w:lineRule="auto"/>
              <w:rPr>
                <w:rFonts w:ascii="宋体" w:hAnsi="宋体"/>
                <w:sz w:val="24"/>
                <w:highlight w:val="none"/>
              </w:rPr>
            </w:pPr>
          </w:p>
        </w:tc>
        <w:tc>
          <w:tcPr>
            <w:tcW w:w="1256" w:type="pct"/>
            <w:vAlign w:val="center"/>
          </w:tcPr>
          <w:p>
            <w:pPr>
              <w:snapToGrid w:val="0"/>
              <w:spacing w:line="360" w:lineRule="auto"/>
              <w:jc w:val="center"/>
              <w:rPr>
                <w:rFonts w:ascii="宋体" w:hAnsi="宋体"/>
                <w:sz w:val="24"/>
                <w:highlight w:val="none"/>
              </w:rPr>
            </w:pPr>
          </w:p>
        </w:tc>
        <w:tc>
          <w:tcPr>
            <w:tcW w:w="1012" w:type="pct"/>
            <w:vAlign w:val="center"/>
          </w:tcPr>
          <w:p>
            <w:pPr>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57" w:type="pct"/>
          </w:tcPr>
          <w:p>
            <w:pPr>
              <w:snapToGrid w:val="0"/>
              <w:spacing w:line="360" w:lineRule="auto"/>
              <w:rPr>
                <w:rFonts w:ascii="宋体" w:hAnsi="宋体"/>
                <w:sz w:val="24"/>
                <w:highlight w:val="none"/>
              </w:rPr>
            </w:pPr>
          </w:p>
        </w:tc>
        <w:tc>
          <w:tcPr>
            <w:tcW w:w="831" w:type="pct"/>
          </w:tcPr>
          <w:p>
            <w:pPr>
              <w:snapToGrid w:val="0"/>
              <w:spacing w:line="360" w:lineRule="auto"/>
              <w:rPr>
                <w:rFonts w:ascii="宋体" w:hAnsi="宋体"/>
                <w:sz w:val="24"/>
                <w:highlight w:val="none"/>
              </w:rPr>
            </w:pPr>
          </w:p>
        </w:tc>
        <w:tc>
          <w:tcPr>
            <w:tcW w:w="1142" w:type="pct"/>
          </w:tcPr>
          <w:p>
            <w:pPr>
              <w:snapToGrid w:val="0"/>
              <w:spacing w:line="360" w:lineRule="auto"/>
              <w:rPr>
                <w:rFonts w:ascii="宋体" w:hAnsi="宋体"/>
                <w:sz w:val="24"/>
                <w:highlight w:val="none"/>
              </w:rPr>
            </w:pPr>
          </w:p>
        </w:tc>
        <w:tc>
          <w:tcPr>
            <w:tcW w:w="1256" w:type="pct"/>
            <w:vAlign w:val="center"/>
          </w:tcPr>
          <w:p>
            <w:pPr>
              <w:snapToGrid w:val="0"/>
              <w:spacing w:line="360" w:lineRule="auto"/>
              <w:jc w:val="center"/>
              <w:rPr>
                <w:rFonts w:ascii="宋体" w:hAnsi="宋体"/>
                <w:sz w:val="24"/>
                <w:highlight w:val="none"/>
              </w:rPr>
            </w:pPr>
          </w:p>
        </w:tc>
        <w:tc>
          <w:tcPr>
            <w:tcW w:w="1012" w:type="pct"/>
            <w:vAlign w:val="center"/>
          </w:tcPr>
          <w:p>
            <w:pPr>
              <w:snapToGrid w:val="0"/>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57" w:type="pct"/>
          </w:tcPr>
          <w:p>
            <w:pPr>
              <w:snapToGrid w:val="0"/>
              <w:spacing w:line="360" w:lineRule="auto"/>
              <w:rPr>
                <w:rFonts w:ascii="宋体" w:hAnsi="宋体"/>
                <w:sz w:val="24"/>
                <w:highlight w:val="none"/>
              </w:rPr>
            </w:pPr>
          </w:p>
        </w:tc>
        <w:tc>
          <w:tcPr>
            <w:tcW w:w="831" w:type="pct"/>
          </w:tcPr>
          <w:p>
            <w:pPr>
              <w:snapToGrid w:val="0"/>
              <w:spacing w:line="360" w:lineRule="auto"/>
              <w:rPr>
                <w:rFonts w:ascii="宋体" w:hAnsi="宋体"/>
                <w:sz w:val="24"/>
                <w:highlight w:val="none"/>
              </w:rPr>
            </w:pPr>
          </w:p>
        </w:tc>
        <w:tc>
          <w:tcPr>
            <w:tcW w:w="1142" w:type="pct"/>
          </w:tcPr>
          <w:p>
            <w:pPr>
              <w:snapToGrid w:val="0"/>
              <w:spacing w:line="360" w:lineRule="auto"/>
              <w:rPr>
                <w:rFonts w:ascii="宋体" w:hAnsi="宋体"/>
                <w:sz w:val="24"/>
                <w:highlight w:val="none"/>
              </w:rPr>
            </w:pPr>
          </w:p>
        </w:tc>
        <w:tc>
          <w:tcPr>
            <w:tcW w:w="1256" w:type="pct"/>
            <w:vAlign w:val="center"/>
          </w:tcPr>
          <w:p>
            <w:pPr>
              <w:snapToGrid w:val="0"/>
              <w:spacing w:line="360" w:lineRule="auto"/>
              <w:jc w:val="center"/>
              <w:rPr>
                <w:rFonts w:ascii="宋体" w:hAnsi="宋体"/>
                <w:sz w:val="24"/>
                <w:highlight w:val="none"/>
              </w:rPr>
            </w:pPr>
          </w:p>
        </w:tc>
        <w:tc>
          <w:tcPr>
            <w:tcW w:w="1012" w:type="pct"/>
            <w:vAlign w:val="center"/>
          </w:tcPr>
          <w:p>
            <w:pPr>
              <w:snapToGrid w:val="0"/>
              <w:spacing w:line="360" w:lineRule="auto"/>
              <w:jc w:val="center"/>
              <w:rPr>
                <w:rFonts w:ascii="宋体" w:hAnsi="宋体"/>
                <w:sz w:val="24"/>
                <w:highlight w:val="none"/>
              </w:rPr>
            </w:pPr>
          </w:p>
        </w:tc>
      </w:tr>
    </w:tbl>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ind w:firstLine="484" w:firstLineChars="200"/>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全称：</w:t>
      </w:r>
    </w:p>
    <w:p>
      <w:pPr>
        <w:snapToGrid w:val="0"/>
        <w:spacing w:line="360" w:lineRule="auto"/>
        <w:ind w:firstLine="484" w:firstLineChars="200"/>
        <w:jc w:val="left"/>
        <w:rPr>
          <w:rFonts w:ascii="宋体" w:hAnsi="宋体"/>
          <w:sz w:val="24"/>
          <w:highlight w:val="none"/>
        </w:rPr>
      </w:pPr>
      <w:r>
        <w:rPr>
          <w:rFonts w:hint="eastAsia" w:ascii="宋体" w:hAnsi="宋体"/>
          <w:sz w:val="24"/>
          <w:highlight w:val="none"/>
        </w:rPr>
        <w:t>日期： 年 月 日</w:t>
      </w: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r>
        <w:rPr>
          <w:rFonts w:ascii="宋体" w:hAnsi="宋体"/>
          <w:sz w:val="24"/>
          <w:highlight w:val="none"/>
        </w:rPr>
        <w:br w:type="page"/>
      </w: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4、详细配置明细表</w:t>
      </w:r>
    </w:p>
    <w:p>
      <w:pPr>
        <w:snapToGrid w:val="0"/>
        <w:jc w:val="center"/>
        <w:rPr>
          <w:rFonts w:ascii="宋体" w:hAnsi="宋体"/>
          <w:sz w:val="24"/>
          <w:highlight w:val="none"/>
        </w:rPr>
      </w:pPr>
    </w:p>
    <w:p>
      <w:pPr>
        <w:snapToGrid w:val="0"/>
        <w:spacing w:line="360" w:lineRule="auto"/>
        <w:ind w:firstLine="103" w:firstLineChars="43"/>
        <w:jc w:val="left"/>
        <w:rPr>
          <w:rFonts w:ascii="宋体" w:hAnsi="宋体"/>
          <w:sz w:val="24"/>
          <w:highlight w:val="none"/>
        </w:rPr>
      </w:pPr>
      <w:r>
        <w:rPr>
          <w:rFonts w:ascii="宋体" w:hAnsi="宋体"/>
          <w:sz w:val="24"/>
          <w:highlight w:val="none"/>
        </w:rPr>
        <w:t>项目名称：------------------------------</w:t>
      </w:r>
    </w:p>
    <w:p>
      <w:pPr>
        <w:snapToGrid w:val="0"/>
        <w:spacing w:line="360" w:lineRule="auto"/>
        <w:ind w:firstLine="103" w:firstLineChars="43"/>
        <w:jc w:val="left"/>
        <w:rPr>
          <w:rFonts w:ascii="宋体" w:hAnsi="宋体"/>
          <w:sz w:val="24"/>
          <w:highlight w:val="none"/>
        </w:rPr>
      </w:pPr>
      <w:r>
        <w:rPr>
          <w:rFonts w:hint="eastAsia" w:ascii="宋体" w:hAnsi="宋体"/>
          <w:sz w:val="24"/>
          <w:highlight w:val="none"/>
        </w:rPr>
        <w:t>项目编号</w:t>
      </w:r>
      <w:r>
        <w:rPr>
          <w:rFonts w:ascii="宋体" w:hAnsi="宋体"/>
          <w:sz w:val="24"/>
          <w:highlight w:val="none"/>
        </w:rPr>
        <w:t>：------------------------------</w:t>
      </w:r>
    </w:p>
    <w:p>
      <w:pPr>
        <w:snapToGrid w:val="0"/>
        <w:spacing w:line="360" w:lineRule="auto"/>
        <w:jc w:val="left"/>
      </w:pPr>
      <w:r>
        <w:rPr>
          <w:rFonts w:ascii="宋体" w:hAnsi="宋体"/>
          <w:sz w:val="24"/>
          <w:highlight w:val="none"/>
        </w:rPr>
        <w:t>（第     包）</w:t>
      </w:r>
    </w:p>
    <w:tbl>
      <w:tblPr>
        <w:tblStyle w:val="19"/>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07"/>
        <w:gridCol w:w="2818"/>
        <w:gridCol w:w="711"/>
        <w:gridCol w:w="825"/>
        <w:gridCol w:w="99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0" w:type="dxa"/>
            <w:vAlign w:val="center"/>
          </w:tcPr>
          <w:p>
            <w:pPr>
              <w:snapToGrid w:val="0"/>
              <w:spacing w:line="360" w:lineRule="auto"/>
              <w:jc w:val="center"/>
              <w:rPr>
                <w:rFonts w:ascii="宋体" w:hAnsi="宋体"/>
                <w:sz w:val="24"/>
                <w:highlight w:val="none"/>
              </w:rPr>
            </w:pPr>
            <w:r>
              <w:rPr>
                <w:rFonts w:ascii="宋体" w:hAnsi="宋体"/>
                <w:sz w:val="24"/>
                <w:highlight w:val="none"/>
              </w:rPr>
              <w:t>序 号</w:t>
            </w:r>
          </w:p>
        </w:tc>
        <w:tc>
          <w:tcPr>
            <w:tcW w:w="1207" w:type="dxa"/>
            <w:vAlign w:val="center"/>
          </w:tcPr>
          <w:p>
            <w:pPr>
              <w:snapToGrid w:val="0"/>
              <w:spacing w:line="360" w:lineRule="auto"/>
              <w:jc w:val="center"/>
              <w:rPr>
                <w:rFonts w:ascii="宋体" w:hAnsi="宋体"/>
                <w:sz w:val="24"/>
                <w:highlight w:val="none"/>
              </w:rPr>
            </w:pPr>
            <w:r>
              <w:rPr>
                <w:rFonts w:hint="eastAsia" w:ascii="宋体" w:hAnsi="宋体"/>
                <w:sz w:val="24"/>
                <w:highlight w:val="none"/>
              </w:rPr>
              <w:t>货物</w:t>
            </w:r>
            <w:r>
              <w:rPr>
                <w:rFonts w:ascii="宋体" w:hAnsi="宋体"/>
                <w:sz w:val="24"/>
                <w:highlight w:val="none"/>
              </w:rPr>
              <w:t>名称</w:t>
            </w:r>
          </w:p>
        </w:tc>
        <w:tc>
          <w:tcPr>
            <w:tcW w:w="2818" w:type="dxa"/>
            <w:vAlign w:val="center"/>
          </w:tcPr>
          <w:p>
            <w:pPr>
              <w:snapToGrid w:val="0"/>
              <w:spacing w:line="360" w:lineRule="auto"/>
              <w:ind w:firstLine="242" w:firstLineChars="100"/>
              <w:jc w:val="center"/>
              <w:rPr>
                <w:rFonts w:ascii="宋体" w:hAnsi="宋体"/>
                <w:sz w:val="24"/>
                <w:highlight w:val="none"/>
              </w:rPr>
            </w:pPr>
            <w:r>
              <w:rPr>
                <w:rFonts w:ascii="宋体" w:hAnsi="宋体"/>
                <w:sz w:val="24"/>
                <w:highlight w:val="none"/>
              </w:rPr>
              <w:t>主要技术参数和要求</w:t>
            </w:r>
          </w:p>
        </w:tc>
        <w:tc>
          <w:tcPr>
            <w:tcW w:w="711" w:type="dxa"/>
            <w:vAlign w:val="center"/>
          </w:tcPr>
          <w:p>
            <w:pPr>
              <w:snapToGrid w:val="0"/>
              <w:spacing w:line="360" w:lineRule="auto"/>
              <w:jc w:val="center"/>
              <w:rPr>
                <w:rFonts w:ascii="宋体" w:hAnsi="宋体"/>
                <w:sz w:val="24"/>
                <w:highlight w:val="none"/>
              </w:rPr>
            </w:pPr>
            <w:r>
              <w:rPr>
                <w:rFonts w:ascii="宋体" w:hAnsi="宋体"/>
                <w:sz w:val="24"/>
                <w:highlight w:val="none"/>
              </w:rPr>
              <w:t>品牌型号产地</w:t>
            </w:r>
          </w:p>
        </w:tc>
        <w:tc>
          <w:tcPr>
            <w:tcW w:w="825" w:type="dxa"/>
            <w:vAlign w:val="center"/>
          </w:tcPr>
          <w:p>
            <w:pPr>
              <w:snapToGrid w:val="0"/>
              <w:spacing w:line="360" w:lineRule="auto"/>
              <w:jc w:val="center"/>
              <w:rPr>
                <w:rFonts w:ascii="宋体" w:hAnsi="宋体"/>
                <w:sz w:val="24"/>
                <w:highlight w:val="none"/>
              </w:rPr>
            </w:pPr>
            <w:r>
              <w:rPr>
                <w:rFonts w:ascii="宋体" w:hAnsi="宋体"/>
                <w:sz w:val="24"/>
                <w:highlight w:val="none"/>
              </w:rPr>
              <w:t>数</w:t>
            </w:r>
            <w:r>
              <w:rPr>
                <w:rFonts w:hint="eastAsia" w:ascii="宋体" w:hAnsi="宋体"/>
                <w:sz w:val="24"/>
                <w:highlight w:val="none"/>
                <w:lang w:val="en-US" w:eastAsia="zh-CN"/>
              </w:rPr>
              <w:t xml:space="preserve"> </w:t>
            </w:r>
            <w:r>
              <w:rPr>
                <w:rFonts w:ascii="宋体" w:hAnsi="宋体"/>
                <w:sz w:val="24"/>
                <w:highlight w:val="none"/>
              </w:rPr>
              <w:t>量</w:t>
            </w:r>
          </w:p>
        </w:tc>
        <w:tc>
          <w:tcPr>
            <w:tcW w:w="996" w:type="dxa"/>
            <w:vAlign w:val="center"/>
          </w:tcPr>
          <w:p>
            <w:pPr>
              <w:snapToGrid w:val="0"/>
              <w:spacing w:line="360" w:lineRule="auto"/>
              <w:jc w:val="center"/>
              <w:rPr>
                <w:rFonts w:hint="eastAsia" w:ascii="宋体" w:hAnsi="宋体" w:eastAsiaTheme="minorEastAsia"/>
                <w:sz w:val="24"/>
                <w:highlight w:val="none"/>
                <w:lang w:eastAsia="zh-CN"/>
              </w:rPr>
            </w:pPr>
            <w:r>
              <w:rPr>
                <w:rFonts w:hint="eastAsia" w:ascii="宋体" w:hAnsi="宋体"/>
                <w:sz w:val="24"/>
                <w:highlight w:val="none"/>
                <w:lang w:eastAsia="zh-CN"/>
              </w:rPr>
              <w:t>单</w:t>
            </w:r>
            <w:r>
              <w:rPr>
                <w:rFonts w:hint="eastAsia" w:ascii="宋体" w:hAnsi="宋体"/>
                <w:sz w:val="24"/>
                <w:highlight w:val="none"/>
                <w:lang w:val="en-US" w:eastAsia="zh-CN"/>
              </w:rPr>
              <w:t xml:space="preserve"> </w:t>
            </w:r>
            <w:r>
              <w:rPr>
                <w:rFonts w:hint="eastAsia" w:ascii="宋体" w:hAnsi="宋体"/>
                <w:sz w:val="24"/>
                <w:highlight w:val="none"/>
                <w:lang w:eastAsia="zh-CN"/>
              </w:rPr>
              <w:t>价</w:t>
            </w:r>
          </w:p>
        </w:tc>
        <w:tc>
          <w:tcPr>
            <w:tcW w:w="1118" w:type="dxa"/>
            <w:vAlign w:val="center"/>
          </w:tcPr>
          <w:p>
            <w:pPr>
              <w:snapToGrid w:val="0"/>
              <w:jc w:val="center"/>
              <w:rPr>
                <w:rFonts w:ascii="宋体" w:hAnsi="宋体"/>
                <w:sz w:val="24"/>
                <w:highlight w:val="none"/>
              </w:rPr>
            </w:pPr>
            <w:r>
              <w:rPr>
                <w:rFonts w:ascii="宋体" w:hAnsi="宋体"/>
                <w:sz w:val="24"/>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ascii="宋体" w:hAnsi="宋体"/>
                <w:sz w:val="24"/>
                <w:highlight w:val="none"/>
              </w:rPr>
            </w:pPr>
          </w:p>
        </w:tc>
        <w:tc>
          <w:tcPr>
            <w:tcW w:w="1207" w:type="dxa"/>
          </w:tcPr>
          <w:p>
            <w:pPr>
              <w:snapToGrid w:val="0"/>
              <w:spacing w:line="360" w:lineRule="auto"/>
              <w:jc w:val="distribute"/>
              <w:rPr>
                <w:rFonts w:ascii="宋体" w:hAnsi="宋体"/>
                <w:sz w:val="24"/>
                <w:highlight w:val="none"/>
              </w:rPr>
            </w:pPr>
          </w:p>
        </w:tc>
        <w:tc>
          <w:tcPr>
            <w:tcW w:w="2818" w:type="dxa"/>
          </w:tcPr>
          <w:p>
            <w:pPr>
              <w:snapToGrid w:val="0"/>
              <w:spacing w:line="360" w:lineRule="auto"/>
              <w:rPr>
                <w:rFonts w:ascii="宋体" w:hAnsi="宋体"/>
                <w:sz w:val="24"/>
                <w:highlight w:val="none"/>
              </w:rPr>
            </w:pPr>
          </w:p>
        </w:tc>
        <w:tc>
          <w:tcPr>
            <w:tcW w:w="711" w:type="dxa"/>
          </w:tcPr>
          <w:p>
            <w:pPr>
              <w:snapToGrid w:val="0"/>
              <w:spacing w:line="360" w:lineRule="auto"/>
              <w:jc w:val="center"/>
              <w:rPr>
                <w:rFonts w:ascii="宋体" w:hAnsi="宋体"/>
                <w:sz w:val="24"/>
                <w:highlight w:val="none"/>
              </w:rPr>
            </w:pPr>
          </w:p>
        </w:tc>
        <w:tc>
          <w:tcPr>
            <w:tcW w:w="825" w:type="dxa"/>
          </w:tcPr>
          <w:p>
            <w:pPr>
              <w:snapToGrid w:val="0"/>
              <w:spacing w:line="360" w:lineRule="auto"/>
              <w:jc w:val="center"/>
              <w:rPr>
                <w:rFonts w:ascii="宋体" w:hAnsi="宋体"/>
                <w:sz w:val="24"/>
                <w:highlight w:val="none"/>
              </w:rPr>
            </w:pPr>
          </w:p>
        </w:tc>
        <w:tc>
          <w:tcPr>
            <w:tcW w:w="996" w:type="dxa"/>
            <w:vAlign w:val="center"/>
          </w:tcPr>
          <w:p>
            <w:pPr>
              <w:snapToGrid w:val="0"/>
              <w:spacing w:line="360" w:lineRule="auto"/>
              <w:jc w:val="center"/>
              <w:rPr>
                <w:rFonts w:ascii="宋体" w:hAnsi="宋体"/>
                <w:sz w:val="24"/>
                <w:highlight w:val="none"/>
              </w:rPr>
            </w:pPr>
          </w:p>
        </w:tc>
        <w:tc>
          <w:tcPr>
            <w:tcW w:w="1118" w:type="dxa"/>
          </w:tcPr>
          <w:p>
            <w:pPr>
              <w:snapToGrid w:val="0"/>
              <w:spacing w:line="360" w:lineRule="auto"/>
              <w:ind w:left="45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ascii="宋体" w:hAnsi="宋体"/>
                <w:sz w:val="24"/>
                <w:highlight w:val="none"/>
              </w:rPr>
            </w:pPr>
          </w:p>
        </w:tc>
        <w:tc>
          <w:tcPr>
            <w:tcW w:w="1207" w:type="dxa"/>
          </w:tcPr>
          <w:p>
            <w:pPr>
              <w:snapToGrid w:val="0"/>
              <w:spacing w:line="360" w:lineRule="auto"/>
              <w:jc w:val="distribute"/>
              <w:rPr>
                <w:rFonts w:ascii="宋体" w:hAnsi="宋体"/>
                <w:sz w:val="24"/>
                <w:highlight w:val="none"/>
              </w:rPr>
            </w:pPr>
          </w:p>
        </w:tc>
        <w:tc>
          <w:tcPr>
            <w:tcW w:w="2818" w:type="dxa"/>
          </w:tcPr>
          <w:p>
            <w:pPr>
              <w:snapToGrid w:val="0"/>
              <w:spacing w:line="360" w:lineRule="auto"/>
              <w:rPr>
                <w:rFonts w:ascii="宋体" w:hAnsi="宋体"/>
                <w:sz w:val="24"/>
                <w:highlight w:val="none"/>
              </w:rPr>
            </w:pPr>
          </w:p>
        </w:tc>
        <w:tc>
          <w:tcPr>
            <w:tcW w:w="711" w:type="dxa"/>
          </w:tcPr>
          <w:p>
            <w:pPr>
              <w:snapToGrid w:val="0"/>
              <w:spacing w:line="360" w:lineRule="auto"/>
              <w:jc w:val="center"/>
              <w:rPr>
                <w:rFonts w:ascii="宋体" w:hAnsi="宋体"/>
                <w:sz w:val="24"/>
                <w:highlight w:val="none"/>
              </w:rPr>
            </w:pPr>
          </w:p>
        </w:tc>
        <w:tc>
          <w:tcPr>
            <w:tcW w:w="825" w:type="dxa"/>
          </w:tcPr>
          <w:p>
            <w:pPr>
              <w:snapToGrid w:val="0"/>
              <w:spacing w:line="360" w:lineRule="auto"/>
              <w:jc w:val="center"/>
              <w:rPr>
                <w:rFonts w:ascii="宋体" w:hAnsi="宋体"/>
                <w:sz w:val="24"/>
                <w:highlight w:val="none"/>
              </w:rPr>
            </w:pPr>
          </w:p>
        </w:tc>
        <w:tc>
          <w:tcPr>
            <w:tcW w:w="996" w:type="dxa"/>
            <w:vAlign w:val="center"/>
          </w:tcPr>
          <w:p>
            <w:pPr>
              <w:snapToGrid w:val="0"/>
              <w:spacing w:line="360" w:lineRule="auto"/>
              <w:jc w:val="center"/>
              <w:rPr>
                <w:rFonts w:ascii="宋体" w:hAnsi="宋体"/>
                <w:sz w:val="24"/>
                <w:highlight w:val="none"/>
              </w:rPr>
            </w:pPr>
          </w:p>
        </w:tc>
        <w:tc>
          <w:tcPr>
            <w:tcW w:w="1118" w:type="dxa"/>
          </w:tcPr>
          <w:p>
            <w:pPr>
              <w:snapToGrid w:val="0"/>
              <w:spacing w:line="360" w:lineRule="auto"/>
              <w:ind w:left="45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ascii="宋体" w:hAnsi="宋体"/>
                <w:sz w:val="24"/>
                <w:highlight w:val="none"/>
              </w:rPr>
            </w:pPr>
            <w:r>
              <w:rPr>
                <w:rFonts w:ascii="宋体" w:hAnsi="宋体"/>
                <w:sz w:val="24"/>
                <w:highlight w:val="none"/>
              </w:rPr>
              <w:t>合计</w:t>
            </w:r>
          </w:p>
        </w:tc>
        <w:tc>
          <w:tcPr>
            <w:tcW w:w="7675" w:type="dxa"/>
            <w:gridSpan w:val="6"/>
          </w:tcPr>
          <w:p>
            <w:pPr>
              <w:snapToGrid w:val="0"/>
              <w:spacing w:line="360" w:lineRule="auto"/>
              <w:ind w:left="450"/>
              <w:rPr>
                <w:rFonts w:ascii="宋体" w:hAnsi="宋体"/>
                <w:sz w:val="24"/>
                <w:highlight w:val="none"/>
              </w:rPr>
            </w:pPr>
          </w:p>
        </w:tc>
      </w:tr>
    </w:tbl>
    <w:p>
      <w:pPr>
        <w:snapToGrid w:val="0"/>
        <w:spacing w:line="360" w:lineRule="auto"/>
        <w:jc w:val="center"/>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全称：</w:t>
      </w:r>
    </w:p>
    <w:p>
      <w:pPr>
        <w:snapToGrid w:val="0"/>
        <w:spacing w:line="360" w:lineRule="auto"/>
        <w:jc w:val="left"/>
        <w:rPr>
          <w:rFonts w:ascii="宋体" w:hAnsi="宋体"/>
          <w:sz w:val="24"/>
          <w:highlight w:val="none"/>
        </w:rPr>
      </w:pPr>
      <w:r>
        <w:rPr>
          <w:rFonts w:hint="eastAsia" w:ascii="宋体" w:hAnsi="宋体"/>
          <w:sz w:val="24"/>
          <w:highlight w:val="none"/>
        </w:rPr>
        <w:t>日期： 年 月 日</w:t>
      </w: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rPr>
          <w:rFonts w:ascii="宋体" w:hAnsi="宋体"/>
          <w:sz w:val="24"/>
          <w:highlight w:val="none"/>
        </w:rPr>
      </w:pPr>
      <w:r>
        <w:rPr>
          <w:rFonts w:ascii="宋体" w:hAnsi="宋体"/>
          <w:sz w:val="24"/>
          <w:highlight w:val="none"/>
        </w:rPr>
        <w:br w:type="page"/>
      </w: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5、技术偏离表</w:t>
      </w:r>
    </w:p>
    <w:p>
      <w:pPr>
        <w:snapToGrid w:val="0"/>
        <w:spacing w:line="360" w:lineRule="auto"/>
        <w:ind w:firstLine="316" w:firstLineChars="131"/>
        <w:jc w:val="left"/>
        <w:rPr>
          <w:rFonts w:ascii="宋体" w:hAnsi="宋体"/>
          <w:sz w:val="24"/>
          <w:highlight w:val="none"/>
        </w:rPr>
      </w:pPr>
      <w:r>
        <w:rPr>
          <w:rFonts w:ascii="宋体" w:hAnsi="宋体"/>
          <w:sz w:val="24"/>
          <w:highlight w:val="none"/>
        </w:rPr>
        <w:t>项目名称：------------------------------</w:t>
      </w:r>
    </w:p>
    <w:p>
      <w:pPr>
        <w:snapToGrid w:val="0"/>
        <w:spacing w:line="360" w:lineRule="auto"/>
        <w:ind w:firstLine="316" w:firstLineChars="131"/>
        <w:jc w:val="left"/>
        <w:rPr>
          <w:rFonts w:ascii="宋体" w:hAnsi="宋体"/>
          <w:sz w:val="24"/>
          <w:highlight w:val="none"/>
        </w:rPr>
      </w:pPr>
      <w:r>
        <w:rPr>
          <w:rFonts w:hint="eastAsia" w:ascii="宋体" w:hAnsi="宋体"/>
          <w:sz w:val="24"/>
          <w:highlight w:val="none"/>
        </w:rPr>
        <w:t>项目编号</w:t>
      </w:r>
      <w:r>
        <w:rPr>
          <w:rFonts w:ascii="宋体" w:hAnsi="宋体"/>
          <w:sz w:val="24"/>
          <w:highlight w:val="none"/>
        </w:rPr>
        <w:t>：------------------------------</w:t>
      </w:r>
    </w:p>
    <w:p>
      <w:pPr>
        <w:snapToGrid w:val="0"/>
        <w:spacing w:line="360" w:lineRule="auto"/>
        <w:ind w:left="450"/>
        <w:jc w:val="left"/>
        <w:rPr>
          <w:rFonts w:ascii="宋体" w:hAnsi="宋体"/>
          <w:sz w:val="24"/>
          <w:highlight w:val="none"/>
        </w:rPr>
      </w:pPr>
      <w:r>
        <w:rPr>
          <w:rFonts w:ascii="宋体" w:hAnsi="宋体"/>
          <w:sz w:val="24"/>
          <w:highlight w:val="none"/>
        </w:rPr>
        <w:t>（第     包）</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980"/>
        <w:gridCol w:w="1053"/>
        <w:gridCol w:w="2133"/>
        <w:gridCol w:w="272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1" w:type="pct"/>
            <w:vAlign w:val="center"/>
          </w:tcPr>
          <w:p>
            <w:pPr>
              <w:snapToGrid w:val="0"/>
              <w:jc w:val="center"/>
              <w:rPr>
                <w:rFonts w:ascii="宋体" w:hAnsi="宋体"/>
                <w:sz w:val="24"/>
                <w:highlight w:val="none"/>
              </w:rPr>
            </w:pPr>
            <w:r>
              <w:rPr>
                <w:rFonts w:ascii="宋体" w:hAnsi="宋体"/>
                <w:sz w:val="24"/>
                <w:highlight w:val="none"/>
              </w:rPr>
              <w:t>序号</w:t>
            </w:r>
          </w:p>
        </w:tc>
        <w:tc>
          <w:tcPr>
            <w:tcW w:w="549" w:type="pct"/>
            <w:vAlign w:val="center"/>
          </w:tcPr>
          <w:p>
            <w:pPr>
              <w:snapToGrid w:val="0"/>
              <w:jc w:val="center"/>
              <w:rPr>
                <w:rFonts w:ascii="宋体" w:hAnsi="宋体"/>
                <w:sz w:val="24"/>
                <w:highlight w:val="none"/>
              </w:rPr>
            </w:pPr>
            <w:r>
              <w:rPr>
                <w:rFonts w:hint="eastAsia" w:ascii="宋体" w:hAnsi="宋体"/>
                <w:sz w:val="24"/>
                <w:highlight w:val="none"/>
              </w:rPr>
              <w:t>货物</w:t>
            </w:r>
            <w:r>
              <w:rPr>
                <w:rFonts w:ascii="宋体" w:hAnsi="宋体"/>
                <w:sz w:val="24"/>
                <w:highlight w:val="none"/>
              </w:rPr>
              <w:t>名称</w:t>
            </w:r>
          </w:p>
        </w:tc>
        <w:tc>
          <w:tcPr>
            <w:tcW w:w="590" w:type="pct"/>
            <w:vAlign w:val="center"/>
          </w:tcPr>
          <w:p>
            <w:pPr>
              <w:snapToGrid w:val="0"/>
              <w:jc w:val="center"/>
              <w:rPr>
                <w:rFonts w:ascii="宋体" w:hAnsi="宋体"/>
                <w:sz w:val="24"/>
                <w:highlight w:val="none"/>
              </w:rPr>
            </w:pPr>
            <w:r>
              <w:rPr>
                <w:rFonts w:ascii="宋体" w:hAnsi="宋体"/>
                <w:sz w:val="24"/>
                <w:highlight w:val="none"/>
              </w:rPr>
              <w:t>品牌</w:t>
            </w:r>
          </w:p>
          <w:p>
            <w:pPr>
              <w:snapToGrid w:val="0"/>
              <w:jc w:val="center"/>
              <w:rPr>
                <w:rFonts w:ascii="宋体" w:hAnsi="宋体"/>
                <w:sz w:val="24"/>
                <w:highlight w:val="none"/>
              </w:rPr>
            </w:pPr>
            <w:r>
              <w:rPr>
                <w:rFonts w:ascii="宋体" w:hAnsi="宋体"/>
                <w:sz w:val="24"/>
                <w:highlight w:val="none"/>
              </w:rPr>
              <w:t>型号</w:t>
            </w:r>
          </w:p>
        </w:tc>
        <w:tc>
          <w:tcPr>
            <w:tcW w:w="1195" w:type="pct"/>
            <w:vAlign w:val="center"/>
          </w:tcPr>
          <w:p>
            <w:pPr>
              <w:snapToGrid w:val="0"/>
              <w:ind w:firstLine="242" w:firstLineChars="100"/>
              <w:jc w:val="center"/>
              <w:rPr>
                <w:rFonts w:ascii="宋体" w:hAnsi="宋体"/>
                <w:sz w:val="24"/>
                <w:highlight w:val="none"/>
              </w:rPr>
            </w:pPr>
            <w:r>
              <w:rPr>
                <w:rFonts w:hint="eastAsia" w:ascii="宋体" w:hAnsi="宋体"/>
                <w:sz w:val="24"/>
                <w:highlight w:val="none"/>
              </w:rPr>
              <w:t>磋商</w:t>
            </w:r>
            <w:r>
              <w:rPr>
                <w:rFonts w:ascii="宋体" w:hAnsi="宋体"/>
                <w:sz w:val="24"/>
                <w:highlight w:val="none"/>
              </w:rPr>
              <w:t>文件</w:t>
            </w:r>
            <w:r>
              <w:rPr>
                <w:rFonts w:hint="eastAsia" w:ascii="宋体" w:hAnsi="宋体"/>
                <w:sz w:val="24"/>
                <w:highlight w:val="none"/>
              </w:rPr>
              <w:t>的</w:t>
            </w:r>
          </w:p>
          <w:p>
            <w:pPr>
              <w:snapToGrid w:val="0"/>
              <w:ind w:firstLine="242" w:firstLineChars="100"/>
              <w:jc w:val="center"/>
              <w:rPr>
                <w:rFonts w:ascii="宋体" w:hAnsi="宋体"/>
                <w:sz w:val="24"/>
                <w:highlight w:val="none"/>
              </w:rPr>
            </w:pPr>
            <w:r>
              <w:rPr>
                <w:rFonts w:ascii="宋体" w:hAnsi="宋体"/>
                <w:sz w:val="24"/>
                <w:highlight w:val="none"/>
              </w:rPr>
              <w:t>参数和要求</w:t>
            </w:r>
          </w:p>
        </w:tc>
        <w:tc>
          <w:tcPr>
            <w:tcW w:w="1524" w:type="pct"/>
            <w:vAlign w:val="center"/>
          </w:tcPr>
          <w:p>
            <w:pPr>
              <w:snapToGrid w:val="0"/>
              <w:jc w:val="center"/>
              <w:rPr>
                <w:rFonts w:ascii="宋体" w:hAnsi="宋体"/>
                <w:sz w:val="24"/>
                <w:highlight w:val="none"/>
              </w:rPr>
            </w:pPr>
            <w:r>
              <w:rPr>
                <w:rFonts w:hint="eastAsia" w:ascii="宋体" w:hAnsi="宋体"/>
                <w:sz w:val="24"/>
                <w:highlight w:val="none"/>
              </w:rPr>
              <w:t>响应文件</w:t>
            </w:r>
            <w:r>
              <w:rPr>
                <w:rFonts w:ascii="宋体" w:hAnsi="宋体"/>
                <w:sz w:val="24"/>
                <w:highlight w:val="none"/>
              </w:rPr>
              <w:t>参数</w:t>
            </w:r>
          </w:p>
        </w:tc>
        <w:tc>
          <w:tcPr>
            <w:tcW w:w="757" w:type="pct"/>
            <w:vAlign w:val="center"/>
          </w:tcPr>
          <w:p>
            <w:pPr>
              <w:snapToGrid w:val="0"/>
              <w:jc w:val="center"/>
              <w:rPr>
                <w:rFonts w:ascii="宋体" w:hAnsi="宋体"/>
                <w:sz w:val="24"/>
                <w:highlight w:val="none"/>
              </w:rPr>
            </w:pPr>
            <w:r>
              <w:rPr>
                <w:rFonts w:ascii="宋体" w:hAnsi="宋体"/>
                <w:sz w:val="24"/>
                <w:highlight w:val="none"/>
              </w:rPr>
              <w:t>偏  离</w:t>
            </w:r>
          </w:p>
          <w:p>
            <w:pPr>
              <w:snapToGrid w:val="0"/>
              <w:jc w:val="center"/>
              <w:rPr>
                <w:rFonts w:ascii="宋体" w:hAnsi="宋体"/>
                <w:sz w:val="24"/>
                <w:highlight w:val="none"/>
              </w:rPr>
            </w:pPr>
            <w:r>
              <w:rPr>
                <w:rFonts w:ascii="宋体" w:hAnsi="宋体"/>
                <w:sz w:val="24"/>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highlight w:val="none"/>
              </w:rPr>
            </w:pPr>
          </w:p>
        </w:tc>
        <w:tc>
          <w:tcPr>
            <w:tcW w:w="549" w:type="pct"/>
            <w:vAlign w:val="center"/>
          </w:tcPr>
          <w:p>
            <w:pPr>
              <w:snapToGrid w:val="0"/>
              <w:jc w:val="center"/>
              <w:rPr>
                <w:rFonts w:ascii="宋体" w:hAnsi="宋体"/>
                <w:sz w:val="24"/>
                <w:highlight w:val="none"/>
              </w:rPr>
            </w:pPr>
          </w:p>
        </w:tc>
        <w:tc>
          <w:tcPr>
            <w:tcW w:w="590" w:type="pct"/>
            <w:vAlign w:val="center"/>
          </w:tcPr>
          <w:p>
            <w:pPr>
              <w:snapToGrid w:val="0"/>
              <w:jc w:val="center"/>
              <w:rPr>
                <w:rFonts w:ascii="宋体" w:hAnsi="宋体"/>
                <w:sz w:val="24"/>
                <w:highlight w:val="none"/>
              </w:rPr>
            </w:pPr>
          </w:p>
        </w:tc>
        <w:tc>
          <w:tcPr>
            <w:tcW w:w="1195" w:type="pct"/>
            <w:vAlign w:val="center"/>
          </w:tcPr>
          <w:p>
            <w:pPr>
              <w:snapToGrid w:val="0"/>
              <w:jc w:val="center"/>
              <w:rPr>
                <w:rFonts w:ascii="宋体" w:hAnsi="宋体"/>
                <w:sz w:val="24"/>
                <w:highlight w:val="none"/>
              </w:rPr>
            </w:pPr>
          </w:p>
        </w:tc>
        <w:tc>
          <w:tcPr>
            <w:tcW w:w="1524" w:type="pct"/>
            <w:vAlign w:val="center"/>
          </w:tcPr>
          <w:p>
            <w:pPr>
              <w:snapToGrid w:val="0"/>
              <w:jc w:val="center"/>
              <w:rPr>
                <w:rFonts w:ascii="宋体" w:hAnsi="宋体"/>
                <w:sz w:val="24"/>
                <w:highlight w:val="none"/>
              </w:rPr>
            </w:pPr>
          </w:p>
        </w:tc>
        <w:tc>
          <w:tcPr>
            <w:tcW w:w="757" w:type="pct"/>
            <w:vAlign w:val="center"/>
          </w:tcPr>
          <w:p>
            <w:pPr>
              <w:snapToGrid w:val="0"/>
              <w:ind w:left="4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highlight w:val="none"/>
              </w:rPr>
            </w:pPr>
          </w:p>
        </w:tc>
        <w:tc>
          <w:tcPr>
            <w:tcW w:w="549" w:type="pct"/>
            <w:vAlign w:val="center"/>
          </w:tcPr>
          <w:p>
            <w:pPr>
              <w:snapToGrid w:val="0"/>
              <w:jc w:val="center"/>
              <w:rPr>
                <w:rFonts w:ascii="宋体" w:hAnsi="宋体"/>
                <w:sz w:val="24"/>
                <w:highlight w:val="none"/>
              </w:rPr>
            </w:pPr>
          </w:p>
        </w:tc>
        <w:tc>
          <w:tcPr>
            <w:tcW w:w="590" w:type="pct"/>
            <w:vAlign w:val="center"/>
          </w:tcPr>
          <w:p>
            <w:pPr>
              <w:snapToGrid w:val="0"/>
              <w:jc w:val="center"/>
              <w:rPr>
                <w:rFonts w:ascii="宋体" w:hAnsi="宋体"/>
                <w:sz w:val="24"/>
                <w:highlight w:val="none"/>
              </w:rPr>
            </w:pPr>
          </w:p>
        </w:tc>
        <w:tc>
          <w:tcPr>
            <w:tcW w:w="1195" w:type="pct"/>
            <w:vAlign w:val="center"/>
          </w:tcPr>
          <w:p>
            <w:pPr>
              <w:snapToGrid w:val="0"/>
              <w:jc w:val="center"/>
              <w:rPr>
                <w:rFonts w:ascii="宋体" w:hAnsi="宋体"/>
                <w:sz w:val="24"/>
                <w:highlight w:val="none"/>
              </w:rPr>
            </w:pPr>
          </w:p>
        </w:tc>
        <w:tc>
          <w:tcPr>
            <w:tcW w:w="1524" w:type="pct"/>
            <w:vAlign w:val="center"/>
          </w:tcPr>
          <w:p>
            <w:pPr>
              <w:snapToGrid w:val="0"/>
              <w:jc w:val="center"/>
              <w:rPr>
                <w:rFonts w:ascii="宋体" w:hAnsi="宋体"/>
                <w:sz w:val="24"/>
                <w:highlight w:val="none"/>
              </w:rPr>
            </w:pPr>
          </w:p>
        </w:tc>
        <w:tc>
          <w:tcPr>
            <w:tcW w:w="757" w:type="pct"/>
            <w:vAlign w:val="center"/>
          </w:tcPr>
          <w:p>
            <w:pPr>
              <w:snapToGrid w:val="0"/>
              <w:ind w:left="4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highlight w:val="none"/>
              </w:rPr>
            </w:pPr>
          </w:p>
        </w:tc>
        <w:tc>
          <w:tcPr>
            <w:tcW w:w="549" w:type="pct"/>
            <w:vAlign w:val="center"/>
          </w:tcPr>
          <w:p>
            <w:pPr>
              <w:snapToGrid w:val="0"/>
              <w:jc w:val="center"/>
              <w:rPr>
                <w:rFonts w:ascii="宋体" w:hAnsi="宋体"/>
                <w:sz w:val="24"/>
                <w:highlight w:val="none"/>
              </w:rPr>
            </w:pPr>
          </w:p>
        </w:tc>
        <w:tc>
          <w:tcPr>
            <w:tcW w:w="590" w:type="pct"/>
            <w:vAlign w:val="center"/>
          </w:tcPr>
          <w:p>
            <w:pPr>
              <w:snapToGrid w:val="0"/>
              <w:jc w:val="center"/>
              <w:rPr>
                <w:rFonts w:ascii="宋体" w:hAnsi="宋体"/>
                <w:sz w:val="24"/>
                <w:highlight w:val="none"/>
              </w:rPr>
            </w:pPr>
          </w:p>
        </w:tc>
        <w:tc>
          <w:tcPr>
            <w:tcW w:w="1195" w:type="pct"/>
            <w:vAlign w:val="center"/>
          </w:tcPr>
          <w:p>
            <w:pPr>
              <w:snapToGrid w:val="0"/>
              <w:jc w:val="center"/>
              <w:rPr>
                <w:rFonts w:ascii="宋体" w:hAnsi="宋体"/>
                <w:sz w:val="24"/>
                <w:highlight w:val="none"/>
              </w:rPr>
            </w:pPr>
          </w:p>
        </w:tc>
        <w:tc>
          <w:tcPr>
            <w:tcW w:w="1524" w:type="pct"/>
            <w:vAlign w:val="center"/>
          </w:tcPr>
          <w:p>
            <w:pPr>
              <w:snapToGrid w:val="0"/>
              <w:jc w:val="center"/>
              <w:rPr>
                <w:rFonts w:ascii="宋体" w:hAnsi="宋体"/>
                <w:sz w:val="24"/>
                <w:highlight w:val="none"/>
              </w:rPr>
            </w:pPr>
          </w:p>
        </w:tc>
        <w:tc>
          <w:tcPr>
            <w:tcW w:w="757" w:type="pct"/>
            <w:vAlign w:val="center"/>
          </w:tcPr>
          <w:p>
            <w:pPr>
              <w:snapToGrid w:val="0"/>
              <w:ind w:left="450"/>
              <w:jc w:val="center"/>
              <w:rPr>
                <w:rFonts w:ascii="宋体" w:hAnsi="宋体"/>
                <w:sz w:val="24"/>
                <w:highlight w:val="none"/>
              </w:rPr>
            </w:pPr>
          </w:p>
        </w:tc>
      </w:tr>
    </w:tbl>
    <w:p>
      <w:pPr>
        <w:snapToGrid w:val="0"/>
        <w:spacing w:line="360" w:lineRule="auto"/>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全称：</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ascii="宋体" w:hAnsi="宋体"/>
          <w:sz w:val="24"/>
          <w:highlight w:val="none"/>
        </w:rPr>
        <w:br w:type="page"/>
      </w:r>
    </w:p>
    <w:p>
      <w:pPr>
        <w:snapToGrid w:val="0"/>
        <w:spacing w:line="360" w:lineRule="auto"/>
        <w:rPr>
          <w:rFonts w:ascii="宋体" w:hAnsi="宋体"/>
          <w:sz w:val="24"/>
          <w:highlight w:val="none"/>
        </w:rPr>
      </w:pP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6、技术服务和售后服务的内容及措施</w:t>
      </w: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t>供应商</w:t>
      </w:r>
      <w:r>
        <w:rPr>
          <w:rFonts w:ascii="宋体" w:hAnsi="宋体"/>
          <w:sz w:val="24"/>
          <w:highlight w:val="none"/>
        </w:rPr>
        <w:t>全称：</w:t>
      </w:r>
    </w:p>
    <w:p>
      <w:pPr>
        <w:snapToGrid w:val="0"/>
        <w:spacing w:line="360" w:lineRule="auto"/>
        <w:jc w:val="left"/>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rPr>
          <w:rFonts w:ascii="宋体" w:hAnsi="宋体"/>
          <w:sz w:val="24"/>
          <w:highlight w:val="none"/>
        </w:rPr>
      </w:pPr>
      <w:r>
        <w:rPr>
          <w:rFonts w:ascii="宋体" w:hAnsi="宋体"/>
          <w:sz w:val="24"/>
          <w:highlight w:val="none"/>
        </w:rPr>
        <w:br w:type="page"/>
      </w: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7、法定代表人授权书</w:t>
      </w:r>
    </w:p>
    <w:p>
      <w:pPr>
        <w:snapToGrid w:val="0"/>
        <w:spacing w:line="360" w:lineRule="auto"/>
        <w:rPr>
          <w:rFonts w:ascii="宋体" w:hAnsi="宋体"/>
          <w:sz w:val="24"/>
          <w:highlight w:val="none"/>
        </w:rPr>
      </w:pPr>
      <w:r>
        <w:rPr>
          <w:rFonts w:ascii="宋体" w:hAnsi="宋体"/>
          <w:position w:val="-6"/>
          <w:sz w:val="24"/>
          <w:highlight w:val="none"/>
        </w:rPr>
        <w:t>-------------------------</w:t>
      </w:r>
      <w:r>
        <w:rPr>
          <w:rFonts w:ascii="宋体" w:hAnsi="宋体"/>
          <w:sz w:val="24"/>
          <w:highlight w:val="none"/>
        </w:rPr>
        <w:t>：</w:t>
      </w:r>
    </w:p>
    <w:p>
      <w:pPr>
        <w:snapToGrid w:val="0"/>
        <w:spacing w:line="360" w:lineRule="auto"/>
        <w:rPr>
          <w:rFonts w:ascii="宋体" w:hAnsi="宋体"/>
          <w:sz w:val="24"/>
          <w:highlight w:val="none"/>
        </w:rPr>
      </w:pPr>
      <w:r>
        <w:rPr>
          <w:rFonts w:ascii="宋体" w:hAnsi="宋体"/>
          <w:position w:val="-6"/>
          <w:sz w:val="24"/>
          <w:highlight w:val="none"/>
        </w:rPr>
        <w:t>-------------------------</w:t>
      </w:r>
      <w:r>
        <w:rPr>
          <w:rFonts w:ascii="宋体" w:hAnsi="宋体"/>
          <w:sz w:val="24"/>
          <w:highlight w:val="none"/>
        </w:rPr>
        <w:t>（</w:t>
      </w:r>
      <w:r>
        <w:rPr>
          <w:rFonts w:hint="eastAsia" w:ascii="宋体" w:hAnsi="宋体"/>
          <w:sz w:val="24"/>
          <w:highlight w:val="none"/>
        </w:rPr>
        <w:t>报价</w:t>
      </w:r>
      <w:r>
        <w:rPr>
          <w:rFonts w:ascii="宋体" w:hAnsi="宋体"/>
          <w:sz w:val="24"/>
          <w:highlight w:val="none"/>
        </w:rPr>
        <w:t>单位全称）法定代表人</w:t>
      </w:r>
      <w:r>
        <w:rPr>
          <w:rFonts w:ascii="宋体" w:hAnsi="宋体"/>
          <w:position w:val="-6"/>
          <w:sz w:val="24"/>
          <w:highlight w:val="none"/>
        </w:rPr>
        <w:t>----------------</w:t>
      </w:r>
      <w:r>
        <w:rPr>
          <w:rFonts w:ascii="宋体" w:hAnsi="宋体"/>
          <w:sz w:val="24"/>
          <w:highlight w:val="none"/>
        </w:rPr>
        <w:t>授权</w:t>
      </w:r>
      <w:r>
        <w:rPr>
          <w:rFonts w:ascii="宋体" w:hAnsi="宋体"/>
          <w:position w:val="-6"/>
          <w:sz w:val="24"/>
          <w:highlight w:val="none"/>
        </w:rPr>
        <w:t>---------------</w:t>
      </w:r>
      <w:r>
        <w:rPr>
          <w:rFonts w:ascii="宋体" w:hAnsi="宋体"/>
          <w:sz w:val="24"/>
          <w:highlight w:val="none"/>
        </w:rPr>
        <w:t>（</w:t>
      </w:r>
      <w:r>
        <w:rPr>
          <w:rFonts w:hint="eastAsia" w:ascii="宋体" w:hAnsi="宋体"/>
          <w:sz w:val="24"/>
          <w:highlight w:val="none"/>
        </w:rPr>
        <w:t>授权代表</w:t>
      </w:r>
      <w:r>
        <w:rPr>
          <w:rFonts w:ascii="宋体" w:hAnsi="宋体"/>
          <w:sz w:val="24"/>
          <w:highlight w:val="none"/>
        </w:rPr>
        <w:t>姓名）为</w:t>
      </w:r>
      <w:r>
        <w:rPr>
          <w:rFonts w:hint="eastAsia" w:ascii="宋体" w:hAnsi="宋体"/>
          <w:sz w:val="24"/>
          <w:highlight w:val="none"/>
        </w:rPr>
        <w:t>全权代表</w:t>
      </w:r>
      <w:r>
        <w:rPr>
          <w:rFonts w:ascii="宋体" w:hAnsi="宋体"/>
          <w:sz w:val="24"/>
          <w:highlight w:val="none"/>
        </w:rPr>
        <w:t>，参加贵处组织的</w:t>
      </w:r>
      <w:r>
        <w:rPr>
          <w:rFonts w:ascii="宋体" w:hAnsi="宋体"/>
          <w:position w:val="-6"/>
          <w:sz w:val="24"/>
          <w:highlight w:val="none"/>
        </w:rPr>
        <w:t>----------------------------</w:t>
      </w:r>
      <w:r>
        <w:rPr>
          <w:rFonts w:ascii="宋体" w:hAnsi="宋体"/>
          <w:sz w:val="24"/>
          <w:highlight w:val="none"/>
        </w:rPr>
        <w:t>（</w:t>
      </w:r>
      <w:r>
        <w:rPr>
          <w:rFonts w:hint="eastAsia" w:ascii="宋体" w:hAnsi="宋体"/>
          <w:sz w:val="24"/>
          <w:highlight w:val="none"/>
        </w:rPr>
        <w:t>项目</w:t>
      </w:r>
      <w:r>
        <w:rPr>
          <w:rFonts w:hint="eastAsia" w:ascii="宋体" w:hAnsi="宋体"/>
          <w:sz w:val="24"/>
          <w:highlight w:val="none"/>
          <w:lang w:eastAsia="zh-CN"/>
        </w:rPr>
        <w:t>名称</w:t>
      </w:r>
      <w:r>
        <w:rPr>
          <w:rFonts w:ascii="宋体" w:hAnsi="宋体"/>
          <w:sz w:val="24"/>
          <w:highlight w:val="none"/>
        </w:rPr>
        <w:t>）</w:t>
      </w:r>
      <w:r>
        <w:rPr>
          <w:rFonts w:hint="eastAsia" w:ascii="宋体" w:hAnsi="宋体"/>
          <w:sz w:val="24"/>
          <w:highlight w:val="none"/>
          <w:u w:val="single"/>
          <w:lang w:val="en-US" w:eastAsia="zh-CN"/>
        </w:rPr>
        <w:t xml:space="preserve">         </w:t>
      </w:r>
      <w:r>
        <w:rPr>
          <w:rFonts w:ascii="宋体" w:hAnsi="宋体"/>
          <w:sz w:val="24"/>
          <w:highlight w:val="none"/>
        </w:rPr>
        <w:t>（</w:t>
      </w:r>
      <w:r>
        <w:rPr>
          <w:rFonts w:hint="eastAsia" w:ascii="宋体" w:hAnsi="宋体"/>
          <w:sz w:val="24"/>
          <w:highlight w:val="none"/>
        </w:rPr>
        <w:t>项目编号</w:t>
      </w:r>
      <w:r>
        <w:rPr>
          <w:rFonts w:ascii="宋体" w:hAnsi="宋体"/>
          <w:sz w:val="24"/>
          <w:highlight w:val="none"/>
        </w:rPr>
        <w:t>）</w:t>
      </w:r>
      <w:r>
        <w:rPr>
          <w:rFonts w:hint="eastAsia" w:ascii="宋体" w:hAnsi="宋体"/>
          <w:sz w:val="24"/>
          <w:highlight w:val="none"/>
        </w:rPr>
        <w:t>磋商</w:t>
      </w:r>
      <w:r>
        <w:rPr>
          <w:rFonts w:ascii="宋体" w:hAnsi="宋体"/>
          <w:sz w:val="24"/>
          <w:highlight w:val="none"/>
        </w:rPr>
        <w:t>活动，全权处理本活动中的一切事宜。</w:t>
      </w:r>
    </w:p>
    <w:p>
      <w:pPr>
        <w:snapToGrid w:val="0"/>
        <w:spacing w:line="360" w:lineRule="auto"/>
        <w:ind w:firstLine="600"/>
        <w:rPr>
          <w:rFonts w:ascii="宋体" w:hAnsi="宋体"/>
          <w:sz w:val="24"/>
          <w:highlight w:val="none"/>
        </w:rPr>
      </w:pPr>
    </w:p>
    <w:p>
      <w:pPr>
        <w:snapToGrid w:val="0"/>
        <w:spacing w:line="360" w:lineRule="auto"/>
        <w:ind w:firstLine="600"/>
        <w:rPr>
          <w:rFonts w:ascii="宋体" w:hAnsi="宋体"/>
          <w:sz w:val="24"/>
          <w:highlight w:val="none"/>
        </w:rPr>
      </w:pPr>
      <w:r>
        <w:rPr>
          <w:rFonts w:ascii="宋体" w:hAnsi="宋体"/>
          <w:spacing w:val="38"/>
          <w:sz w:val="24"/>
          <w:highlight w:val="none"/>
        </w:rPr>
        <w:t>法定代表人签字</w:t>
      </w:r>
      <w:r>
        <w:rPr>
          <w:rFonts w:ascii="宋体" w:hAnsi="宋体"/>
          <w:sz w:val="24"/>
          <w:highlight w:val="none"/>
        </w:rPr>
        <w:t>：</w:t>
      </w:r>
    </w:p>
    <w:p>
      <w:pPr>
        <w:snapToGrid w:val="0"/>
        <w:spacing w:line="360" w:lineRule="auto"/>
        <w:ind w:firstLine="600"/>
        <w:rPr>
          <w:rFonts w:ascii="宋体" w:hAnsi="宋体"/>
          <w:sz w:val="24"/>
          <w:highlight w:val="none"/>
        </w:rPr>
      </w:pPr>
      <w:r>
        <w:rPr>
          <w:rFonts w:hint="eastAsia" w:ascii="宋体" w:hAnsi="宋体"/>
          <w:sz w:val="24"/>
          <w:highlight w:val="none"/>
        </w:rPr>
        <w:t>供应商</w:t>
      </w:r>
      <w:r>
        <w:rPr>
          <w:rFonts w:ascii="宋体" w:hAnsi="宋体"/>
          <w:sz w:val="24"/>
          <w:highlight w:val="none"/>
        </w:rPr>
        <w:t>全称（公章）：</w:t>
      </w:r>
    </w:p>
    <w:p>
      <w:pPr>
        <w:snapToGrid w:val="0"/>
        <w:spacing w:line="360" w:lineRule="auto"/>
        <w:ind w:firstLine="600"/>
        <w:rPr>
          <w:rFonts w:ascii="宋体" w:hAnsi="宋体"/>
          <w:sz w:val="24"/>
          <w:highlight w:val="none"/>
        </w:rPr>
      </w:pPr>
      <w:r>
        <w:rPr>
          <w:rFonts w:ascii="宋体" w:hAnsi="宋体"/>
          <w:sz w:val="24"/>
          <w:highlight w:val="none"/>
        </w:rPr>
        <w:t>日           期：</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ascii="宋体" w:hAnsi="宋体"/>
          <w:sz w:val="24"/>
          <w:highlight w:val="none"/>
        </w:rPr>
        <w:t>附：</w:t>
      </w:r>
      <w:r>
        <w:rPr>
          <w:rFonts w:hint="eastAsia" w:ascii="宋体" w:hAnsi="宋体"/>
          <w:sz w:val="24"/>
          <w:highlight w:val="none"/>
        </w:rPr>
        <w:t xml:space="preserve"> 授权代表</w:t>
      </w:r>
      <w:r>
        <w:rPr>
          <w:rFonts w:ascii="宋体" w:hAnsi="宋体"/>
          <w:sz w:val="24"/>
          <w:highlight w:val="none"/>
        </w:rPr>
        <w:t>姓名：</w:t>
      </w:r>
      <w:r>
        <w:rPr>
          <w:rFonts w:hint="eastAsia" w:ascii="宋体" w:hAnsi="宋体"/>
          <w:sz w:val="24"/>
          <w:highlight w:val="none"/>
        </w:rPr>
        <w:t xml:space="preserve">                   授权代表（签字）：</w:t>
      </w:r>
    </w:p>
    <w:p>
      <w:pPr>
        <w:snapToGrid w:val="0"/>
        <w:spacing w:line="360" w:lineRule="auto"/>
        <w:ind w:firstLine="600"/>
        <w:rPr>
          <w:rFonts w:ascii="宋体" w:hAnsi="宋体"/>
          <w:sz w:val="24"/>
          <w:highlight w:val="none"/>
        </w:rPr>
      </w:pPr>
      <w:r>
        <w:rPr>
          <w:rFonts w:ascii="宋体" w:hAnsi="宋体"/>
          <w:sz w:val="24"/>
          <w:highlight w:val="none"/>
        </w:rPr>
        <w:t>职        务：</w:t>
      </w:r>
    </w:p>
    <w:p>
      <w:pPr>
        <w:snapToGrid w:val="0"/>
        <w:spacing w:line="360" w:lineRule="auto"/>
        <w:ind w:firstLine="600"/>
        <w:rPr>
          <w:rFonts w:ascii="宋体" w:hAnsi="宋体"/>
          <w:sz w:val="24"/>
          <w:highlight w:val="none"/>
        </w:rPr>
      </w:pPr>
      <w:r>
        <w:rPr>
          <w:rFonts w:ascii="宋体" w:hAnsi="宋体"/>
          <w:sz w:val="24"/>
          <w:highlight w:val="none"/>
        </w:rPr>
        <w:t>详细通讯地址：</w:t>
      </w:r>
    </w:p>
    <w:p>
      <w:pPr>
        <w:snapToGrid w:val="0"/>
        <w:spacing w:line="360" w:lineRule="auto"/>
        <w:ind w:firstLine="600"/>
        <w:rPr>
          <w:rFonts w:ascii="宋体" w:hAnsi="宋体"/>
          <w:sz w:val="24"/>
          <w:highlight w:val="none"/>
        </w:rPr>
      </w:pPr>
      <w:r>
        <w:rPr>
          <w:rFonts w:ascii="宋体" w:hAnsi="宋体"/>
          <w:sz w:val="24"/>
          <w:highlight w:val="none"/>
        </w:rPr>
        <w:t>邮</w:t>
      </w:r>
      <w:r>
        <w:rPr>
          <w:rFonts w:hint="eastAsia" w:ascii="宋体" w:hAnsi="宋体"/>
          <w:sz w:val="24"/>
          <w:highlight w:val="none"/>
          <w:lang w:val="en-US" w:eastAsia="zh-CN"/>
        </w:rPr>
        <w:t xml:space="preserve"> </w:t>
      </w:r>
      <w:r>
        <w:rPr>
          <w:rFonts w:ascii="宋体" w:hAnsi="宋体"/>
          <w:sz w:val="24"/>
          <w:highlight w:val="none"/>
        </w:rPr>
        <w:t>政</w:t>
      </w:r>
      <w:r>
        <w:rPr>
          <w:rFonts w:hint="eastAsia" w:ascii="宋体" w:hAnsi="宋体"/>
          <w:sz w:val="24"/>
          <w:highlight w:val="none"/>
          <w:lang w:val="en-US" w:eastAsia="zh-CN"/>
        </w:rPr>
        <w:t xml:space="preserve"> </w:t>
      </w:r>
      <w:r>
        <w:rPr>
          <w:rFonts w:ascii="宋体" w:hAnsi="宋体"/>
          <w:sz w:val="24"/>
          <w:highlight w:val="none"/>
        </w:rPr>
        <w:t>编</w:t>
      </w:r>
      <w:r>
        <w:rPr>
          <w:rFonts w:hint="eastAsia" w:ascii="宋体" w:hAnsi="宋体"/>
          <w:sz w:val="24"/>
          <w:highlight w:val="none"/>
          <w:lang w:val="en-US" w:eastAsia="zh-CN"/>
        </w:rPr>
        <w:t xml:space="preserve">  </w:t>
      </w:r>
      <w:r>
        <w:rPr>
          <w:rFonts w:ascii="宋体" w:hAnsi="宋体"/>
          <w:sz w:val="24"/>
          <w:highlight w:val="none"/>
        </w:rPr>
        <w:t>码：</w:t>
      </w:r>
    </w:p>
    <w:p>
      <w:pPr>
        <w:snapToGrid w:val="0"/>
        <w:spacing w:line="360" w:lineRule="auto"/>
        <w:ind w:firstLine="600"/>
        <w:rPr>
          <w:rFonts w:ascii="宋体" w:hAnsi="宋体"/>
          <w:sz w:val="24"/>
          <w:highlight w:val="none"/>
        </w:rPr>
      </w:pPr>
      <w:r>
        <w:rPr>
          <w:rFonts w:ascii="宋体" w:hAnsi="宋体"/>
          <w:sz w:val="24"/>
          <w:highlight w:val="none"/>
        </w:rPr>
        <w:t>传        真：</w:t>
      </w:r>
    </w:p>
    <w:p>
      <w:pPr>
        <w:snapToGrid w:val="0"/>
        <w:spacing w:line="360" w:lineRule="auto"/>
        <w:ind w:firstLine="600"/>
        <w:rPr>
          <w:rFonts w:ascii="宋体" w:hAnsi="宋体"/>
          <w:sz w:val="24"/>
          <w:highlight w:val="none"/>
        </w:rPr>
      </w:pPr>
      <w:r>
        <w:rPr>
          <w:rFonts w:ascii="宋体" w:hAnsi="宋体"/>
          <w:sz w:val="24"/>
          <w:highlight w:val="none"/>
        </w:rPr>
        <w:t>电话（手机）：</w:t>
      </w: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snapToGrid w:val="0"/>
        <w:spacing w:line="360" w:lineRule="auto"/>
        <w:jc w:val="center"/>
        <w:rPr>
          <w:rFonts w:ascii="宋体" w:hAnsi="宋体"/>
          <w:sz w:val="24"/>
          <w:highlight w:val="none"/>
        </w:rPr>
      </w:pPr>
    </w:p>
    <w:p>
      <w:pPr>
        <w:widowControl/>
        <w:spacing w:before="312" w:beforeLines="100" w:line="360" w:lineRule="auto"/>
        <w:rPr>
          <w:rFonts w:ascii="宋体" w:hAnsi="宋体"/>
          <w:sz w:val="24"/>
          <w:highlight w:val="none"/>
        </w:rPr>
      </w:pPr>
    </w:p>
    <w:p>
      <w:pPr>
        <w:widowControl/>
        <w:spacing w:before="312" w:beforeLines="100" w:line="360" w:lineRule="auto"/>
        <w:rPr>
          <w:rFonts w:eastAsia="黑体"/>
          <w:sz w:val="24"/>
          <w:highlight w:val="none"/>
        </w:rPr>
      </w:pPr>
    </w:p>
    <w:p>
      <w:pPr>
        <w:snapToGrid w:val="0"/>
        <w:spacing w:line="480" w:lineRule="auto"/>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8、法定代表人和授权代表身份证明</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sz w:val="24"/>
          <w:highlight w:val="none"/>
        </w:rPr>
      </w:pPr>
      <w:r>
        <w:rPr>
          <w:rFonts w:hint="eastAsia"/>
          <w:sz w:val="24"/>
          <w:highlight w:val="none"/>
        </w:rPr>
        <w:t>（法定代表人身份证复印件正反两面）</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sz w:val="24"/>
          <w:highlight w:val="none"/>
        </w:rPr>
      </w:pPr>
      <w:r>
        <w:rPr>
          <w:rFonts w:hint="eastAsia"/>
          <w:sz w:val="24"/>
          <w:highlight w:val="none"/>
        </w:rPr>
        <w:t>（授权代表身份证复印件正反两面）</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napToGrid w:val="0"/>
        <w:spacing w:line="360" w:lineRule="auto"/>
        <w:rPr>
          <w:rFonts w:ascii="宋体" w:hAnsi="宋体"/>
          <w:sz w:val="24"/>
          <w:highlight w:val="none"/>
        </w:rPr>
      </w:pPr>
      <w:r>
        <w:rPr>
          <w:rFonts w:hint="eastAsia" w:ascii="宋体" w:hAnsi="宋体"/>
          <w:sz w:val="24"/>
          <w:highlight w:val="none"/>
        </w:rPr>
        <w:t>供应商</w:t>
      </w:r>
      <w:r>
        <w:rPr>
          <w:rFonts w:ascii="宋体" w:hAnsi="宋体"/>
          <w:sz w:val="24"/>
          <w:highlight w:val="none"/>
        </w:rPr>
        <w:t>全称：</w:t>
      </w:r>
    </w:p>
    <w:p>
      <w:pPr>
        <w:snapToGrid w:val="0"/>
        <w:spacing w:line="360" w:lineRule="auto"/>
        <w:jc w:val="center"/>
        <w:rPr>
          <w:rFonts w:ascii="宋体" w:hAnsi="宋体"/>
          <w:sz w:val="24"/>
          <w:highlight w:val="none"/>
        </w:rPr>
      </w:pPr>
    </w:p>
    <w:p>
      <w:pPr>
        <w:rPr>
          <w:sz w:val="44"/>
          <w:szCs w:val="44"/>
          <w:highlight w:val="none"/>
        </w:rPr>
      </w:pPr>
    </w:p>
    <w:p>
      <w:pPr>
        <w:pStyle w:val="17"/>
        <w:spacing w:line="432" w:lineRule="auto"/>
        <w:jc w:val="center"/>
        <w:rPr>
          <w:rStyle w:val="22"/>
          <w:highlight w:val="none"/>
        </w:rPr>
      </w:pPr>
    </w:p>
    <w:p>
      <w:pPr>
        <w:pStyle w:val="17"/>
        <w:spacing w:line="432" w:lineRule="auto"/>
        <w:jc w:val="both"/>
        <w:rPr>
          <w:rStyle w:val="22"/>
          <w:rFonts w:hint="eastAsia"/>
          <w:highlight w:val="none"/>
        </w:rPr>
      </w:pPr>
    </w:p>
    <w:p>
      <w:pPr>
        <w:snapToGrid w:val="0"/>
        <w:spacing w:line="500" w:lineRule="exact"/>
        <w:jc w:val="center"/>
        <w:outlineLvl w:val="1"/>
        <w:rPr>
          <w:rFonts w:hint="eastAsia" w:ascii="宋体" w:hAnsi="宋体" w:eastAsia="宋体" w:cs="宋体"/>
          <w:b/>
          <w:bCs/>
          <w:snapToGrid w:val="0"/>
          <w:color w:val="000000"/>
          <w:sz w:val="36"/>
          <w:szCs w:val="36"/>
        </w:rPr>
      </w:pPr>
      <w:r>
        <w:rPr>
          <w:rFonts w:hint="eastAsia" w:ascii="宋体" w:hAnsi="宋体" w:eastAsia="宋体" w:cs="宋体"/>
          <w:b/>
          <w:bCs w:val="0"/>
          <w:sz w:val="36"/>
          <w:szCs w:val="36"/>
          <w:highlight w:val="none"/>
        </w:rPr>
        <w:t>9、</w:t>
      </w:r>
      <w:bookmarkStart w:id="62" w:name="_Toc12444"/>
      <w:r>
        <w:rPr>
          <w:rFonts w:hint="eastAsia" w:ascii="宋体" w:hAnsi="宋体" w:eastAsia="宋体" w:cs="宋体"/>
          <w:b/>
          <w:bCs/>
          <w:sz w:val="36"/>
          <w:szCs w:val="36"/>
        </w:rPr>
        <w:t>中小企业声明函</w:t>
      </w:r>
      <w:bookmarkEnd w:id="62"/>
    </w:p>
    <w:p>
      <w:pPr>
        <w:snapToGrid w:val="0"/>
        <w:spacing w:line="500" w:lineRule="exact"/>
        <w:rPr>
          <w:rFonts w:hint="eastAsia" w:ascii="宋体" w:hAnsi="宋体" w:eastAsia="宋体" w:cs="宋体"/>
          <w:snapToGrid w:val="0"/>
        </w:rPr>
      </w:pP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rPr>
        <w:t xml:space="preserve">  </w:t>
      </w:r>
      <w:r>
        <w:rPr>
          <w:rFonts w:hint="eastAsia" w:ascii="宋体" w:hAnsi="宋体" w:eastAsia="宋体" w:cs="宋体"/>
          <w:snapToGrid w:val="0"/>
          <w:sz w:val="24"/>
        </w:rPr>
        <w:t xml:space="preserve">  本公司郑重声明，根据《政府采购促进中小企业发展暂行办法》（财库〔2011〕181号）的规定，本公司为______（请填写：中型、小型、微型）企业。即，本公司同时满足以下条件： </w:t>
      </w: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sz w:val="24"/>
        </w:rPr>
        <w:t xml:space="preserve">　　1、根据《工业和信息化部、国家统计局、国家发展和改革委员会、财政部关于印发中小企业划型标准规定的通知》（工信部联企业〔2011〕300号）规定的划分标准，本公司为______（请填写：中型、小型、微型）企业。 </w:t>
      </w: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sz w:val="24"/>
        </w:rPr>
        <w:t>　　本公司对上述声明的真实性负责。如有虚假，将依法承担相应责任。</w:t>
      </w:r>
      <w:bookmarkStart w:id="63" w:name="ref_[1]"/>
      <w:bookmarkEnd w:id="63"/>
    </w:p>
    <w:p>
      <w:pPr>
        <w:snapToGrid w:val="0"/>
        <w:spacing w:line="500" w:lineRule="exact"/>
        <w:rPr>
          <w:rFonts w:hint="eastAsia" w:ascii="宋体" w:hAnsi="宋体" w:eastAsia="宋体" w:cs="宋体"/>
          <w:snapToGrid w:val="0"/>
          <w:sz w:val="24"/>
        </w:rPr>
      </w:pPr>
    </w:p>
    <w:p>
      <w:pPr>
        <w:snapToGrid w:val="0"/>
        <w:spacing w:line="500" w:lineRule="exact"/>
        <w:rPr>
          <w:rFonts w:hint="eastAsia" w:ascii="宋体" w:hAnsi="宋体" w:eastAsia="宋体" w:cs="宋体"/>
          <w:snapToGrid w:val="0"/>
          <w:sz w:val="24"/>
        </w:rPr>
      </w:pP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sz w:val="24"/>
        </w:rPr>
        <w:t xml:space="preserve">                                   供应商(盖公章)：</w:t>
      </w:r>
    </w:p>
    <w:p>
      <w:pPr>
        <w:snapToGrid w:val="0"/>
        <w:spacing w:line="500" w:lineRule="exact"/>
        <w:rPr>
          <w:rFonts w:hint="eastAsia" w:ascii="宋体" w:hAnsi="宋体" w:eastAsia="宋体" w:cs="宋体"/>
          <w:snapToGrid w:val="0"/>
          <w:color w:val="000000"/>
          <w:sz w:val="24"/>
        </w:rPr>
      </w:pPr>
      <w:r>
        <w:rPr>
          <w:rFonts w:hint="eastAsia" w:ascii="宋体" w:hAnsi="宋体" w:eastAsia="宋体" w:cs="宋体"/>
          <w:snapToGrid w:val="0"/>
          <w:sz w:val="24"/>
        </w:rPr>
        <w:t xml:space="preserve">                                   法人</w:t>
      </w:r>
      <w:r>
        <w:rPr>
          <w:rFonts w:hint="eastAsia" w:ascii="宋体" w:hAnsi="宋体" w:eastAsia="宋体" w:cs="宋体"/>
          <w:snapToGrid w:val="0"/>
          <w:color w:val="000000"/>
          <w:sz w:val="24"/>
        </w:rPr>
        <w:t>代表手写签字：</w:t>
      </w:r>
    </w:p>
    <w:p>
      <w:pPr>
        <w:snapToGrid w:val="0"/>
        <w:spacing w:line="500" w:lineRule="exact"/>
        <w:rPr>
          <w:rFonts w:hint="eastAsia" w:ascii="宋体" w:hAnsi="宋体" w:eastAsia="宋体" w:cs="宋体"/>
          <w:snapToGrid w:val="0"/>
          <w:sz w:val="24"/>
        </w:rPr>
      </w:pPr>
      <w:r>
        <w:rPr>
          <w:rFonts w:hint="eastAsia" w:ascii="宋体" w:hAnsi="宋体" w:eastAsia="宋体" w:cs="宋体"/>
          <w:snapToGrid w:val="0"/>
          <w:sz w:val="24"/>
        </w:rPr>
        <w:t xml:space="preserve">                                   日  期：</w:t>
      </w:r>
    </w:p>
    <w:p>
      <w:pPr>
        <w:spacing w:line="360" w:lineRule="auto"/>
        <w:ind w:firstLine="420"/>
        <w:rPr>
          <w:highlight w:val="none"/>
        </w:rPr>
      </w:pPr>
    </w:p>
    <w:p>
      <w:pPr>
        <w:spacing w:line="360" w:lineRule="auto"/>
        <w:ind w:firstLine="420"/>
        <w:rPr>
          <w:highlight w:val="none"/>
        </w:rPr>
      </w:pPr>
    </w:p>
    <w:p>
      <w:pPr>
        <w:spacing w:line="360" w:lineRule="auto"/>
        <w:ind w:firstLine="420"/>
        <w:rPr>
          <w:highlight w:val="none"/>
        </w:rPr>
      </w:pPr>
    </w:p>
    <w:p>
      <w:pPr>
        <w:snapToGrid w:val="0"/>
        <w:spacing w:line="360" w:lineRule="auto"/>
        <w:jc w:val="center"/>
        <w:rPr>
          <w:rFonts w:ascii="宋体" w:hAnsi="宋体"/>
          <w:sz w:val="24"/>
          <w:highlight w:val="none"/>
        </w:rPr>
      </w:pPr>
      <w:r>
        <w:rPr>
          <w:rFonts w:hint="eastAsia" w:ascii="宋体" w:hAnsi="宋体"/>
          <w:sz w:val="24"/>
          <w:highlight w:val="none"/>
        </w:rPr>
        <w:br w:type="page"/>
      </w:r>
    </w:p>
    <w:p>
      <w:pPr>
        <w:spacing w:line="500" w:lineRule="exact"/>
        <w:jc w:val="center"/>
        <w:outlineLvl w:val="1"/>
        <w:rPr>
          <w:rFonts w:hint="eastAsia" w:ascii="宋体" w:hAnsi="宋体" w:eastAsia="宋体" w:cs="宋体"/>
          <w:sz w:val="18"/>
          <w:szCs w:val="18"/>
        </w:rPr>
      </w:pPr>
      <w:r>
        <w:rPr>
          <w:rFonts w:hint="eastAsia" w:ascii="宋体" w:hAnsi="宋体" w:eastAsia="宋体" w:cs="宋体"/>
          <w:b/>
          <w:bCs w:val="0"/>
          <w:color w:val="auto"/>
          <w:kern w:val="2"/>
          <w:sz w:val="36"/>
          <w:szCs w:val="36"/>
          <w:highlight w:val="none"/>
          <w:lang w:val="en-US" w:eastAsia="zh-CN" w:bidi="ar-SA"/>
        </w:rPr>
        <w:t>10、</w:t>
      </w:r>
      <w:r>
        <w:rPr>
          <w:rFonts w:hint="eastAsia" w:ascii="宋体" w:hAnsi="宋体" w:eastAsia="宋体" w:cs="宋体"/>
          <w:b/>
          <w:bCs/>
          <w:snapToGrid w:val="0"/>
          <w:color w:val="000000"/>
          <w:sz w:val="36"/>
        </w:rPr>
        <w:t>政府采购履约担保函</w:t>
      </w:r>
    </w:p>
    <w:p>
      <w:pPr>
        <w:spacing w:line="500" w:lineRule="exact"/>
        <w:ind w:firstLine="5808" w:firstLineChars="2400"/>
        <w:rPr>
          <w:rFonts w:hint="eastAsia" w:ascii="宋体" w:hAnsi="宋体" w:eastAsia="宋体" w:cs="宋体"/>
          <w:sz w:val="24"/>
        </w:rPr>
      </w:pPr>
      <w:r>
        <w:rPr>
          <w:rFonts w:hint="eastAsia" w:ascii="宋体" w:hAnsi="宋体" w:eastAsia="宋体" w:cs="宋体"/>
          <w:sz w:val="24"/>
        </w:rPr>
        <w:t xml:space="preserve">      编号：</w:t>
      </w:r>
    </w:p>
    <w:p>
      <w:pPr>
        <w:spacing w:line="500" w:lineRule="exact"/>
        <w:rPr>
          <w:rFonts w:hint="eastAsia" w:ascii="宋体" w:hAnsi="宋体" w:eastAsia="宋体" w:cs="宋体"/>
          <w:sz w:val="24"/>
        </w:rPr>
      </w:pPr>
      <w:r>
        <w:rPr>
          <w:rFonts w:hint="eastAsia" w:ascii="宋体" w:hAnsi="宋体" w:eastAsia="宋体" w:cs="宋体"/>
          <w:sz w:val="24"/>
        </w:rPr>
        <w:t>正信伟业工程咨询管理有限公司：</w:t>
      </w:r>
    </w:p>
    <w:p>
      <w:pPr>
        <w:spacing w:line="500" w:lineRule="exact"/>
        <w:ind w:firstLine="57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（以下简称供应商）已于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日签订编号为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政府采购合同》</w:t>
      </w:r>
      <w:r>
        <w:rPr>
          <w:rFonts w:hint="eastAsia" w:ascii="宋体" w:hAnsi="宋体" w:eastAsia="宋体" w:cs="宋体"/>
          <w:sz w:val="24"/>
        </w:rPr>
        <w:t>（以下简称主合同），且依据该合同的约定，供应商应在</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日前向你方交纳履约保证金，且可以履约担保函的形式交纳履约保证金。应供应商的申请，我方以保证的方式向你方提供如下履约保证金担保：</w:t>
      </w:r>
    </w:p>
    <w:p>
      <w:pPr>
        <w:spacing w:line="500" w:lineRule="exact"/>
        <w:ind w:firstLine="570"/>
        <w:rPr>
          <w:rFonts w:hint="eastAsia" w:ascii="宋体" w:hAnsi="宋体" w:eastAsia="宋体" w:cs="宋体"/>
          <w:sz w:val="24"/>
        </w:rPr>
      </w:pPr>
      <w:r>
        <w:rPr>
          <w:rFonts w:hint="eastAsia" w:ascii="宋体" w:hAnsi="宋体" w:eastAsia="宋体" w:cs="宋体"/>
          <w:sz w:val="24"/>
        </w:rPr>
        <w:t>一、保证责任的情形及保证金额</w:t>
      </w:r>
    </w:p>
    <w:p>
      <w:pPr>
        <w:spacing w:line="500" w:lineRule="exact"/>
        <w:ind w:firstLine="570"/>
        <w:rPr>
          <w:rFonts w:hint="eastAsia" w:ascii="宋体" w:hAnsi="宋体" w:eastAsia="宋体" w:cs="宋体"/>
          <w:sz w:val="24"/>
        </w:rPr>
      </w:pPr>
      <w:r>
        <w:rPr>
          <w:rFonts w:hint="eastAsia" w:ascii="宋体" w:hAnsi="宋体" w:eastAsia="宋体" w:cs="宋体"/>
          <w:sz w:val="24"/>
        </w:rPr>
        <w:t>（一）在供应商出现下列情形之一时，我方承担保证责任：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1、将成交项目转让给他人，或者在响应文件中未说明，且未经代理机构同意，将成交项目分包给他人的。</w:t>
      </w:r>
    </w:p>
    <w:p>
      <w:pPr>
        <w:spacing w:line="500" w:lineRule="exact"/>
        <w:ind w:firstLine="570"/>
        <w:rPr>
          <w:rFonts w:hint="eastAsia" w:ascii="宋体" w:hAnsi="宋体" w:eastAsia="宋体" w:cs="宋体"/>
          <w:sz w:val="24"/>
        </w:rPr>
      </w:pPr>
      <w:r>
        <w:rPr>
          <w:rFonts w:hint="eastAsia" w:ascii="宋体" w:hAnsi="宋体" w:eastAsia="宋体" w:cs="宋体"/>
          <w:sz w:val="24"/>
        </w:rPr>
        <w:t>2、主合同约定的应当缴纳履约保证金的情形：</w:t>
      </w:r>
    </w:p>
    <w:p>
      <w:pPr>
        <w:spacing w:line="500" w:lineRule="exact"/>
        <w:ind w:firstLine="570"/>
        <w:rPr>
          <w:rFonts w:hint="eastAsia" w:ascii="宋体" w:hAnsi="宋体" w:eastAsia="宋体" w:cs="宋体"/>
          <w:sz w:val="24"/>
        </w:rPr>
      </w:pPr>
      <w:r>
        <w:rPr>
          <w:rFonts w:hint="eastAsia" w:ascii="宋体" w:hAnsi="宋体" w:eastAsia="宋体" w:cs="宋体"/>
          <w:sz w:val="24"/>
        </w:rPr>
        <w:t>（1）未按主合同约定的质量、数量和期限供应货物或完成工程的；</w:t>
      </w:r>
    </w:p>
    <w:p>
      <w:pPr>
        <w:spacing w:line="500" w:lineRule="exact"/>
        <w:ind w:firstLine="5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w:t>
      </w:r>
      <w:r>
        <w:rPr>
          <w:rFonts w:hint="eastAsia" w:ascii="宋体" w:hAnsi="宋体" w:eastAsia="宋体" w:cs="宋体"/>
          <w:sz w:val="24"/>
        </w:rPr>
        <w:t>。</w:t>
      </w:r>
    </w:p>
    <w:p>
      <w:pPr>
        <w:spacing w:line="500" w:lineRule="exact"/>
        <w:ind w:left="1" w:firstLine="570" w:firstLineChars="236"/>
        <w:rPr>
          <w:rFonts w:hint="eastAsia" w:ascii="宋体" w:hAnsi="宋体" w:eastAsia="宋体" w:cs="宋体"/>
          <w:sz w:val="24"/>
        </w:rPr>
      </w:pPr>
      <w:r>
        <w:rPr>
          <w:rFonts w:hint="eastAsia" w:ascii="宋体" w:hAnsi="宋体" w:eastAsia="宋体" w:cs="宋体"/>
          <w:sz w:val="24"/>
        </w:rPr>
        <w:t>（二）我方的保证范围是主合同约定的合同价款总额的</w:t>
      </w:r>
      <w:r>
        <w:rPr>
          <w:rFonts w:hint="eastAsia" w:ascii="宋体" w:hAnsi="宋体" w:eastAsia="宋体" w:cs="宋体"/>
          <w:sz w:val="24"/>
          <w:u w:val="single"/>
        </w:rPr>
        <w:t xml:space="preserve">        </w:t>
      </w:r>
      <w:r>
        <w:rPr>
          <w:rFonts w:hint="eastAsia" w:ascii="宋体" w:hAnsi="宋体" w:eastAsia="宋体" w:cs="宋体"/>
          <w:sz w:val="24"/>
        </w:rPr>
        <w:t>% ，数额为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），币种为</w:t>
      </w:r>
      <w:r>
        <w:rPr>
          <w:rFonts w:hint="eastAsia" w:ascii="宋体" w:hAnsi="宋体" w:eastAsia="宋体" w:cs="宋体"/>
          <w:sz w:val="24"/>
          <w:u w:val="single"/>
        </w:rPr>
        <w:t xml:space="preserve">      </w:t>
      </w:r>
      <w:r>
        <w:rPr>
          <w:rFonts w:hint="eastAsia" w:ascii="宋体" w:hAnsi="宋体" w:eastAsia="宋体" w:cs="宋体"/>
          <w:sz w:val="24"/>
        </w:rPr>
        <w:t>。即主合同履约保证金金额。</w:t>
      </w:r>
    </w:p>
    <w:p>
      <w:pPr>
        <w:spacing w:line="500" w:lineRule="exact"/>
        <w:ind w:firstLine="570"/>
        <w:rPr>
          <w:rFonts w:hint="eastAsia" w:ascii="宋体" w:hAnsi="宋体" w:eastAsia="宋体" w:cs="宋体"/>
          <w:sz w:val="24"/>
        </w:rPr>
      </w:pPr>
      <w:r>
        <w:rPr>
          <w:rFonts w:hint="eastAsia" w:ascii="宋体" w:hAnsi="宋体" w:eastAsia="宋体" w:cs="宋体"/>
          <w:sz w:val="24"/>
        </w:rPr>
        <w:t>二、保证的方式及保证期</w:t>
      </w:r>
    </w:p>
    <w:p>
      <w:pPr>
        <w:spacing w:line="500" w:lineRule="exact"/>
        <w:ind w:firstLine="570"/>
        <w:rPr>
          <w:rFonts w:hint="eastAsia" w:ascii="宋体" w:hAnsi="宋体" w:eastAsia="宋体" w:cs="宋体"/>
          <w:sz w:val="24"/>
        </w:rPr>
      </w:pPr>
      <w:r>
        <w:rPr>
          <w:rFonts w:hint="eastAsia" w:ascii="宋体" w:hAnsi="宋体" w:eastAsia="宋体" w:cs="宋体"/>
          <w:sz w:val="24"/>
        </w:rPr>
        <w:t>我方保证的方式为：连带责任保证。</w:t>
      </w:r>
    </w:p>
    <w:p>
      <w:pPr>
        <w:spacing w:line="500" w:lineRule="exact"/>
        <w:ind w:firstLine="570"/>
        <w:rPr>
          <w:rFonts w:hint="eastAsia" w:ascii="宋体" w:hAnsi="宋体" w:eastAsia="宋体" w:cs="宋体"/>
          <w:sz w:val="24"/>
        </w:rPr>
      </w:pPr>
      <w:r>
        <w:rPr>
          <w:rFonts w:hint="eastAsia" w:ascii="宋体" w:hAnsi="宋体" w:eastAsia="宋体" w:cs="宋体"/>
          <w:sz w:val="24"/>
        </w:rPr>
        <w:t>我方保证的期间为：自本保函生效之日起至供应商按照主合同约定的供货／完工期限届满后</w:t>
      </w:r>
      <w:r>
        <w:rPr>
          <w:rFonts w:hint="eastAsia" w:ascii="宋体" w:hAnsi="宋体" w:eastAsia="宋体" w:cs="宋体"/>
          <w:sz w:val="24"/>
          <w:u w:val="single"/>
        </w:rPr>
        <w:t xml:space="preserve">     </w:t>
      </w:r>
      <w:r>
        <w:rPr>
          <w:rFonts w:hint="eastAsia" w:ascii="宋体" w:hAnsi="宋体" w:eastAsia="宋体" w:cs="宋体"/>
          <w:sz w:val="24"/>
        </w:rPr>
        <w:t>日内。</w:t>
      </w:r>
    </w:p>
    <w:p>
      <w:pPr>
        <w:spacing w:line="500" w:lineRule="exact"/>
        <w:ind w:firstLine="570"/>
        <w:rPr>
          <w:rFonts w:hint="eastAsia" w:ascii="宋体" w:hAnsi="宋体" w:eastAsia="宋体" w:cs="宋体"/>
          <w:sz w:val="24"/>
        </w:rPr>
      </w:pPr>
      <w:r>
        <w:rPr>
          <w:rFonts w:hint="eastAsia" w:ascii="宋体" w:hAnsi="宋体" w:eastAsia="宋体" w:cs="宋体"/>
          <w:sz w:val="24"/>
        </w:rPr>
        <w:t>如果供应商未按主合同约定向贵方供应货物／提供服务／完成工程的，由我方在保证金额内向你方支付上述款项。</w:t>
      </w:r>
    </w:p>
    <w:p>
      <w:pPr>
        <w:spacing w:line="500" w:lineRule="exact"/>
        <w:ind w:firstLine="570"/>
        <w:rPr>
          <w:rFonts w:hint="eastAsia" w:ascii="宋体" w:hAnsi="宋体" w:eastAsia="宋体" w:cs="宋体"/>
          <w:sz w:val="24"/>
        </w:rPr>
      </w:pPr>
      <w:r>
        <w:rPr>
          <w:rFonts w:hint="eastAsia" w:ascii="宋体" w:hAnsi="宋体" w:eastAsia="宋体" w:cs="宋体"/>
          <w:sz w:val="24"/>
        </w:rPr>
        <w:t>三、承担保证责任的程序</w:t>
      </w:r>
    </w:p>
    <w:p>
      <w:pPr>
        <w:spacing w:line="500" w:lineRule="exact"/>
        <w:ind w:firstLine="570"/>
        <w:rPr>
          <w:rFonts w:hint="eastAsia" w:ascii="宋体" w:hAnsi="宋体" w:eastAsia="宋体" w:cs="宋体"/>
          <w:sz w:val="24"/>
        </w:rPr>
      </w:pPr>
      <w:r>
        <w:rPr>
          <w:rFonts w:hint="eastAsia" w:ascii="宋体" w:hAnsi="宋体" w:eastAsia="宋体" w:cs="宋体"/>
          <w:sz w:val="24"/>
        </w:rPr>
        <w:t>1、你方要求我方承担保证责任的，应在本保函保证期间内向我方发出书面索赔通知。索赔通知应写明要求索赔的金额，支付款项应到达的账号，并附有证明供应商违约事实的证明材料。</w:t>
      </w:r>
    </w:p>
    <w:p>
      <w:pPr>
        <w:spacing w:line="500" w:lineRule="exact"/>
        <w:ind w:firstLine="570"/>
        <w:rPr>
          <w:rFonts w:hint="eastAsia" w:ascii="宋体" w:hAnsi="宋体" w:eastAsia="宋体" w:cs="宋体"/>
          <w:sz w:val="24"/>
        </w:rPr>
      </w:pPr>
      <w:r>
        <w:rPr>
          <w:rFonts w:hint="eastAsia" w:ascii="宋体" w:hAnsi="宋体" w:eastAsia="宋体" w:cs="宋体"/>
          <w:sz w:val="24"/>
        </w:rPr>
        <w:t>如果你方与供应商因货物质量问题发生争议，你方还需同时提供</w:t>
      </w:r>
      <w:r>
        <w:rPr>
          <w:rFonts w:hint="eastAsia" w:ascii="宋体" w:hAnsi="宋体" w:eastAsia="宋体" w:cs="宋体"/>
          <w:sz w:val="24"/>
          <w:u w:val="single"/>
        </w:rPr>
        <w:t xml:space="preserve">       </w:t>
      </w:r>
      <w:r>
        <w:rPr>
          <w:rFonts w:hint="eastAsia" w:ascii="宋体" w:hAnsi="宋体" w:eastAsia="宋体" w:cs="宋体"/>
          <w:sz w:val="24"/>
        </w:rPr>
        <w:t>部门出具的质量检测报告，或经诉讼（仲裁）程序裁决后的裁决书、调解书，本保证人即按照检测结果或裁决书、调解书决定是否承担保证责任。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2、我方在收到你方的书面索赔通知及相关证明材料，在</w:t>
      </w:r>
      <w:r>
        <w:rPr>
          <w:rFonts w:hint="eastAsia" w:ascii="宋体" w:hAnsi="宋体" w:eastAsia="宋体" w:cs="宋体"/>
          <w:sz w:val="24"/>
          <w:u w:val="single"/>
        </w:rPr>
        <w:t xml:space="preserve">     </w:t>
      </w:r>
      <w:r>
        <w:rPr>
          <w:rFonts w:hint="eastAsia" w:ascii="宋体" w:hAnsi="宋体" w:eastAsia="宋体" w:cs="宋体"/>
          <w:sz w:val="24"/>
        </w:rPr>
        <w:t>工作日内进行核定后按照本保函的承诺承担保证责任。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四、保证责任的终止</w:t>
      </w:r>
    </w:p>
    <w:p>
      <w:pPr>
        <w:spacing w:line="500" w:lineRule="exact"/>
        <w:ind w:firstLine="570"/>
        <w:rPr>
          <w:rFonts w:hint="eastAsia" w:ascii="宋体" w:hAnsi="宋体" w:eastAsia="宋体" w:cs="宋体"/>
          <w:sz w:val="24"/>
        </w:rPr>
      </w:pPr>
      <w:r>
        <w:rPr>
          <w:rFonts w:hint="eastAsia" w:ascii="宋体" w:hAnsi="宋体" w:eastAsia="宋体" w:cs="宋体"/>
          <w:sz w:val="24"/>
        </w:rPr>
        <w:t>1、保证期间届满你方未向我方书面主张保证责任的，自保证期届满次日起，我方保证责任自动终止。保证期间届满前，主合同约定的货物／工程／服务全部验收合格的，自验收合格日期，我方保证责任自动终止。</w:t>
      </w:r>
    </w:p>
    <w:p>
      <w:pPr>
        <w:spacing w:line="500" w:lineRule="exact"/>
        <w:ind w:firstLine="570"/>
        <w:rPr>
          <w:rFonts w:hint="eastAsia" w:ascii="宋体" w:hAnsi="宋体" w:eastAsia="宋体" w:cs="宋体"/>
          <w:sz w:val="24"/>
        </w:rPr>
      </w:pPr>
      <w:r>
        <w:rPr>
          <w:rFonts w:hint="eastAsia" w:ascii="宋体" w:hAnsi="宋体" w:eastAsia="宋体" w:cs="宋体"/>
          <w:sz w:val="24"/>
        </w:rPr>
        <w:t>2、我方按照本保函向你方履行了保证责任后，我方向你方支付款项（支付款项从我方账户划出）之日起，保证责任即终止。</w:t>
      </w:r>
    </w:p>
    <w:p>
      <w:pPr>
        <w:spacing w:line="500" w:lineRule="exact"/>
        <w:ind w:firstLine="570"/>
        <w:rPr>
          <w:rFonts w:hint="eastAsia" w:ascii="宋体" w:hAnsi="宋体" w:eastAsia="宋体" w:cs="宋体"/>
          <w:sz w:val="24"/>
        </w:rPr>
      </w:pPr>
      <w:r>
        <w:rPr>
          <w:rFonts w:hint="eastAsia" w:ascii="宋体" w:hAnsi="宋体" w:eastAsia="宋体" w:cs="宋体"/>
          <w:sz w:val="24"/>
        </w:rPr>
        <w:t>3、按照法律法规的规定或出现应终止我方保证责任的其他情形的，我方在本保函项下的保证责任亦终止。</w:t>
      </w:r>
    </w:p>
    <w:p>
      <w:pPr>
        <w:spacing w:line="500" w:lineRule="exact"/>
        <w:ind w:firstLine="570"/>
        <w:rPr>
          <w:rFonts w:hint="eastAsia" w:ascii="宋体" w:hAnsi="宋体" w:eastAsia="宋体" w:cs="宋体"/>
          <w:sz w:val="24"/>
        </w:rPr>
      </w:pPr>
      <w:r>
        <w:rPr>
          <w:rFonts w:hint="eastAsia" w:ascii="宋体" w:hAnsi="宋体" w:eastAsia="宋体" w:cs="宋体"/>
          <w:sz w:val="24"/>
        </w:rPr>
        <w:t>4、你方同意供应商修改主合同，加重我方保证责任的，我方对加重部分不承担保证责任，但该等修改事先经我方书面同意的除外；你方同意修改主合同履行期限，我方保证期间仍依修改前的履行期限计算，但该等修改事先经我方书面同意的除外。</w:t>
      </w:r>
    </w:p>
    <w:p>
      <w:pPr>
        <w:spacing w:line="500" w:lineRule="exact"/>
        <w:ind w:firstLine="570"/>
        <w:rPr>
          <w:rFonts w:hint="eastAsia" w:ascii="宋体" w:hAnsi="宋体" w:eastAsia="宋体" w:cs="宋体"/>
          <w:sz w:val="24"/>
        </w:rPr>
      </w:pPr>
      <w:r>
        <w:rPr>
          <w:rFonts w:hint="eastAsia" w:ascii="宋体" w:hAnsi="宋体" w:eastAsia="宋体" w:cs="宋体"/>
          <w:sz w:val="24"/>
        </w:rPr>
        <w:t>五、免责条款</w:t>
      </w:r>
    </w:p>
    <w:p>
      <w:pPr>
        <w:spacing w:line="500" w:lineRule="exact"/>
        <w:ind w:firstLine="570"/>
        <w:rPr>
          <w:rFonts w:hint="eastAsia" w:ascii="宋体" w:hAnsi="宋体" w:eastAsia="宋体" w:cs="宋体"/>
          <w:sz w:val="24"/>
        </w:rPr>
      </w:pPr>
      <w:r>
        <w:rPr>
          <w:rFonts w:hint="eastAsia" w:ascii="宋体" w:hAnsi="宋体" w:eastAsia="宋体" w:cs="宋体"/>
          <w:sz w:val="24"/>
        </w:rPr>
        <w:t>1、因你方同意修改主合同致使供应商不能履行义务的，我方不承担保证责任。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2、依照法律法规的规定或你方同意供应商的另行约定，全部或者部分免除供应商应缴纳的保证金义务的，我方亦免除相应的保证责任。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3、因不可抗力造成供应商不能履行供货义务的，我方不承担保证责任。</w:t>
      </w:r>
    </w:p>
    <w:p>
      <w:pPr>
        <w:spacing w:line="500" w:lineRule="exact"/>
        <w:ind w:firstLine="570"/>
        <w:rPr>
          <w:rFonts w:hint="eastAsia" w:ascii="宋体" w:hAnsi="宋体" w:eastAsia="宋体" w:cs="宋体"/>
          <w:sz w:val="24"/>
        </w:rPr>
      </w:pPr>
      <w:r>
        <w:rPr>
          <w:rFonts w:hint="eastAsia" w:ascii="宋体" w:hAnsi="宋体" w:eastAsia="宋体" w:cs="宋体"/>
          <w:sz w:val="24"/>
        </w:rPr>
        <w:t>六、争议的解决</w:t>
      </w:r>
    </w:p>
    <w:p>
      <w:pPr>
        <w:spacing w:line="500" w:lineRule="exact"/>
        <w:ind w:firstLine="570"/>
        <w:rPr>
          <w:rFonts w:hint="eastAsia" w:ascii="宋体" w:hAnsi="宋体" w:eastAsia="宋体" w:cs="宋体"/>
          <w:sz w:val="24"/>
        </w:rPr>
      </w:pPr>
      <w:r>
        <w:rPr>
          <w:rFonts w:hint="eastAsia" w:ascii="宋体" w:hAnsi="宋体" w:eastAsia="宋体" w:cs="宋体"/>
          <w:sz w:val="24"/>
        </w:rPr>
        <w:t>因本保函发生的纠纷，由你我双方协商解决，协商不成的，通过诉讼程序解决，诉讼管辖地法院为</w:t>
      </w:r>
      <w:r>
        <w:rPr>
          <w:rFonts w:hint="eastAsia" w:ascii="宋体" w:hAnsi="宋体" w:eastAsia="宋体" w:cs="宋体"/>
          <w:sz w:val="24"/>
          <w:u w:val="single"/>
        </w:rPr>
        <w:t xml:space="preserve">        </w:t>
      </w:r>
      <w:r>
        <w:rPr>
          <w:rFonts w:hint="eastAsia" w:ascii="宋体" w:hAnsi="宋体" w:eastAsia="宋体" w:cs="宋体"/>
          <w:sz w:val="24"/>
        </w:rPr>
        <w:t>法院。</w:t>
      </w:r>
    </w:p>
    <w:p>
      <w:pPr>
        <w:spacing w:line="500" w:lineRule="exact"/>
        <w:ind w:firstLine="570"/>
        <w:rPr>
          <w:rFonts w:hint="eastAsia" w:ascii="宋体" w:hAnsi="宋体" w:eastAsia="宋体" w:cs="宋体"/>
          <w:sz w:val="24"/>
        </w:rPr>
      </w:pPr>
      <w:r>
        <w:rPr>
          <w:rFonts w:hint="eastAsia" w:ascii="宋体" w:hAnsi="宋体" w:eastAsia="宋体" w:cs="宋体"/>
          <w:sz w:val="24"/>
        </w:rPr>
        <w:t>七、保函的生效</w:t>
      </w:r>
    </w:p>
    <w:p>
      <w:pPr>
        <w:spacing w:line="500" w:lineRule="exact"/>
        <w:ind w:firstLine="570"/>
        <w:rPr>
          <w:rFonts w:hint="eastAsia" w:ascii="宋体" w:hAnsi="宋体" w:eastAsia="宋体" w:cs="宋体"/>
          <w:sz w:val="24"/>
        </w:rPr>
      </w:pPr>
      <w:r>
        <w:rPr>
          <w:rFonts w:hint="eastAsia" w:ascii="宋体" w:hAnsi="宋体" w:eastAsia="宋体" w:cs="宋体"/>
          <w:sz w:val="24"/>
        </w:rPr>
        <w:t>本保函自我方加盖公章之日起生效。</w:t>
      </w:r>
    </w:p>
    <w:p>
      <w:pPr>
        <w:spacing w:line="500" w:lineRule="exact"/>
        <w:ind w:firstLine="4444" w:firstLineChars="1837"/>
        <w:rPr>
          <w:rFonts w:hint="eastAsia" w:ascii="宋体" w:hAnsi="宋体" w:eastAsia="宋体" w:cs="宋体"/>
          <w:sz w:val="24"/>
        </w:rPr>
      </w:pPr>
      <w:r>
        <w:rPr>
          <w:rFonts w:hint="eastAsia" w:ascii="宋体" w:hAnsi="宋体" w:eastAsia="宋体" w:cs="宋体"/>
          <w:sz w:val="24"/>
        </w:rPr>
        <w:t>保证人：（公章）</w:t>
      </w:r>
    </w:p>
    <w:p>
      <w:pPr>
        <w:spacing w:line="500" w:lineRule="exact"/>
        <w:rPr>
          <w:rFonts w:hint="eastAsia" w:ascii="宋体" w:hAnsi="宋体" w:eastAsia="宋体" w:cs="宋体"/>
          <w:sz w:val="36"/>
          <w:szCs w:val="36"/>
        </w:rPr>
      </w:pPr>
      <w:r>
        <w:rPr>
          <w:rFonts w:hint="eastAsia" w:ascii="宋体" w:hAnsi="宋体" w:eastAsia="宋体" w:cs="宋体"/>
          <w:sz w:val="24"/>
        </w:rPr>
        <w:t xml:space="preserve">                                         年   月   日</w:t>
      </w:r>
    </w:p>
    <w:p>
      <w:pPr>
        <w:snapToGrid w:val="0"/>
        <w:spacing w:line="360" w:lineRule="auto"/>
        <w:jc w:val="center"/>
        <w:rPr>
          <w:rFonts w:hint="eastAsia" w:ascii="宋体" w:hAnsi="宋体" w:eastAsia="宋体" w:cs="宋体"/>
          <w:b/>
          <w:bCs/>
          <w:sz w:val="36"/>
          <w:szCs w:val="36"/>
        </w:rPr>
      </w:pPr>
      <w:r>
        <w:rPr>
          <w:rStyle w:val="22"/>
          <w:rFonts w:hint="eastAsia" w:ascii="黑体" w:hAnsi="黑体" w:eastAsia="黑体" w:cs="黑体"/>
          <w:sz w:val="36"/>
          <w:szCs w:val="36"/>
          <w:highlight w:val="none"/>
          <w:lang w:val="en-US" w:eastAsia="zh-CN"/>
        </w:rPr>
        <w:t>11</w:t>
      </w:r>
      <w:r>
        <w:rPr>
          <w:rStyle w:val="22"/>
          <w:rFonts w:hint="eastAsia" w:ascii="黑体" w:hAnsi="黑体" w:eastAsia="黑体" w:cs="黑体"/>
          <w:sz w:val="36"/>
          <w:szCs w:val="36"/>
          <w:highlight w:val="none"/>
        </w:rPr>
        <w:t>.</w:t>
      </w:r>
      <w:r>
        <w:rPr>
          <w:rFonts w:hint="eastAsia" w:ascii="宋体" w:hAnsi="宋体" w:eastAsia="宋体" w:cs="宋体"/>
          <w:b/>
          <w:bCs/>
          <w:sz w:val="36"/>
          <w:szCs w:val="36"/>
        </w:rPr>
        <w:t>残疾人福利性单位声明函</w:t>
      </w:r>
    </w:p>
    <w:p>
      <w:pPr>
        <w:spacing w:line="588" w:lineRule="exact"/>
        <w:rPr>
          <w:rFonts w:ascii="仿宋_GB2312" w:eastAsia="仿宋_GB2312"/>
          <w:b/>
          <w:spacing w:val="6"/>
          <w:szCs w:val="30"/>
        </w:rPr>
      </w:pPr>
    </w:p>
    <w:p>
      <w:pPr>
        <w:spacing w:line="500" w:lineRule="exact"/>
        <w:ind w:firstLine="57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（采购单位名称）</w:t>
      </w:r>
      <w:r>
        <w:rPr>
          <w:rFonts w:hint="eastAsia" w:ascii="宋体" w:hAnsi="宋体" w:eastAsia="宋体" w:cs="宋体"/>
          <w:sz w:val="24"/>
        </w:rPr>
        <w:t>单位的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（采购项目名称）</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spacing w:line="500" w:lineRule="exact"/>
        <w:ind w:firstLine="57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500" w:lineRule="exact"/>
        <w:ind w:firstLine="570"/>
        <w:rPr>
          <w:rFonts w:hint="eastAsia" w:ascii="宋体" w:hAnsi="宋体" w:eastAsia="宋体" w:cs="宋体"/>
          <w:sz w:val="24"/>
        </w:rPr>
      </w:pPr>
    </w:p>
    <w:p>
      <w:pPr>
        <w:spacing w:line="500" w:lineRule="exact"/>
        <w:ind w:firstLine="570"/>
        <w:rPr>
          <w:rFonts w:hint="eastAsia" w:ascii="宋体" w:hAnsi="宋体" w:eastAsia="宋体" w:cs="宋体"/>
          <w:sz w:val="24"/>
        </w:rPr>
      </w:pPr>
    </w:p>
    <w:p>
      <w:pPr>
        <w:spacing w:line="500" w:lineRule="exact"/>
        <w:ind w:firstLine="570"/>
        <w:rPr>
          <w:rFonts w:hint="eastAsia" w:ascii="宋体" w:hAnsi="宋体" w:eastAsia="宋体" w:cs="宋体"/>
          <w:sz w:val="24"/>
        </w:rPr>
      </w:pPr>
      <w:r>
        <w:rPr>
          <w:rFonts w:hint="eastAsia" w:ascii="宋体" w:hAnsi="宋体" w:eastAsia="宋体" w:cs="宋体"/>
          <w:sz w:val="24"/>
        </w:rPr>
        <w:t>单位名称（盖章）：</w:t>
      </w:r>
    </w:p>
    <w:p>
      <w:pPr>
        <w:spacing w:line="500" w:lineRule="exact"/>
        <w:ind w:firstLine="570"/>
        <w:rPr>
          <w:rFonts w:hint="eastAsia" w:ascii="宋体" w:hAnsi="宋体" w:eastAsia="宋体" w:cs="宋体"/>
          <w:sz w:val="24"/>
        </w:rPr>
      </w:pPr>
      <w:r>
        <w:rPr>
          <w:rFonts w:hint="eastAsia" w:ascii="宋体" w:hAnsi="宋体" w:eastAsia="宋体" w:cs="宋体"/>
          <w:sz w:val="24"/>
        </w:rPr>
        <w:t>日  期：</w:t>
      </w:r>
    </w:p>
    <w:p>
      <w:pPr>
        <w:widowControl/>
        <w:spacing w:before="100" w:beforeAutospacing="1" w:after="100" w:afterAutospacing="1" w:line="432" w:lineRule="auto"/>
        <w:ind w:firstLine="450"/>
        <w:jc w:val="left"/>
        <w:rPr>
          <w:rFonts w:hint="eastAsia" w:ascii="宋体"/>
          <w:sz w:val="24"/>
        </w:rPr>
      </w:pPr>
    </w:p>
    <w:p>
      <w:pPr>
        <w:wordWrap/>
        <w:jc w:val="center"/>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rPr>
          <w:rStyle w:val="22"/>
          <w:rFonts w:hint="eastAsia"/>
          <w:b/>
          <w:bCs/>
          <w:highlight w:val="none"/>
          <w:lang w:val="en-US" w:eastAsia="zh-CN"/>
        </w:rPr>
      </w:pPr>
    </w:p>
    <w:p>
      <w:pPr>
        <w:pStyle w:val="2"/>
        <w:ind w:left="0" w:leftChars="0" w:firstLine="0" w:firstLineChars="0"/>
        <w:rPr>
          <w:rStyle w:val="22"/>
          <w:rFonts w:hint="eastAsia"/>
          <w:b/>
          <w:bCs/>
          <w:highlight w:val="none"/>
          <w:lang w:val="en-US" w:eastAsia="zh-CN"/>
        </w:rPr>
      </w:pPr>
    </w:p>
    <w:p>
      <w:pPr>
        <w:pStyle w:val="17"/>
        <w:spacing w:line="432" w:lineRule="auto"/>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t>1</w:t>
      </w:r>
      <w:r>
        <w:rPr>
          <w:rFonts w:hint="eastAsia" w:cs="宋体"/>
          <w:b/>
          <w:bCs w:val="0"/>
          <w:color w:val="auto"/>
          <w:kern w:val="2"/>
          <w:sz w:val="36"/>
          <w:szCs w:val="36"/>
          <w:highlight w:val="none"/>
          <w:lang w:val="en-US" w:eastAsia="zh-CN" w:bidi="ar-SA"/>
        </w:rPr>
        <w:t>2</w:t>
      </w:r>
      <w:r>
        <w:rPr>
          <w:rFonts w:hint="eastAsia" w:ascii="宋体" w:hAnsi="宋体" w:eastAsia="宋体" w:cs="宋体"/>
          <w:b/>
          <w:bCs w:val="0"/>
          <w:color w:val="auto"/>
          <w:kern w:val="2"/>
          <w:sz w:val="36"/>
          <w:szCs w:val="36"/>
          <w:highlight w:val="none"/>
          <w:lang w:val="en-US" w:eastAsia="zh-CN" w:bidi="ar-SA"/>
        </w:rPr>
        <w:t>.没有重大违法记录的声明</w:t>
      </w:r>
    </w:p>
    <w:p>
      <w:pPr>
        <w:wordWrap/>
        <w:jc w:val="left"/>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我方声明在参加政府采购活动前3年内在经营活动中没有重大违法记录（重大违法记录是指供应商因违法经营收到刑事处罚或者责令停产停业、吊销许可证或者执照、较大数额罚款等行政处罚。）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名称（盖公章）：</w:t>
      </w:r>
    </w:p>
    <w:p>
      <w:pPr>
        <w:pStyle w:val="2"/>
        <w:rPr>
          <w:rFonts w:hint="eastAsia" w:ascii="宋体" w:hAnsi="宋体" w:cs="宋体"/>
          <w:sz w:val="24"/>
          <w:szCs w:val="24"/>
          <w:highlight w:val="none"/>
        </w:rPr>
      </w:pPr>
    </w:p>
    <w:p>
      <w:pPr>
        <w:pStyle w:val="2"/>
        <w:ind w:firstLine="484" w:firstLineChars="200"/>
        <w:jc w:val="right"/>
        <w:rPr>
          <w:rFonts w:hint="eastAsia" w:ascii="宋体" w:hAnsi="宋体" w:cs="宋体"/>
          <w:sz w:val="24"/>
          <w:szCs w:val="24"/>
          <w:highlight w:val="none"/>
        </w:rPr>
      </w:pPr>
    </w:p>
    <w:p>
      <w:pPr>
        <w:pStyle w:val="2"/>
        <w:ind w:firstLine="484" w:firstLineChars="200"/>
        <w:jc w:val="right"/>
        <w:rPr>
          <w:rFonts w:hint="eastAsia" w:ascii="宋体" w:hAnsi="宋体" w:cs="宋体"/>
          <w:sz w:val="24"/>
          <w:szCs w:val="24"/>
          <w:highlight w:val="none"/>
        </w:rPr>
      </w:pPr>
    </w:p>
    <w:p>
      <w:pPr>
        <w:pStyle w:val="2"/>
        <w:ind w:firstLine="484" w:firstLineChars="200"/>
        <w:jc w:val="right"/>
        <w:rPr>
          <w:rFonts w:hint="eastAsia" w:ascii="宋体" w:hAnsi="宋体" w:cs="宋体"/>
          <w:sz w:val="24"/>
          <w:szCs w:val="24"/>
          <w:highlight w:val="none"/>
        </w:rPr>
      </w:pPr>
    </w:p>
    <w:p>
      <w:pPr>
        <w:pStyle w:val="2"/>
        <w:ind w:firstLine="484" w:firstLineChars="200"/>
        <w:jc w:val="right"/>
        <w:rPr>
          <w:highlight w:val="none"/>
        </w:rPr>
      </w:pP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期：  年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pPr>
        <w:pStyle w:val="2"/>
        <w:rPr>
          <w:rFonts w:hint="eastAsia" w:ascii="宋体" w:hAnsi="宋体" w:eastAsia="宋体" w:cs="宋体"/>
          <w:sz w:val="21"/>
          <w:szCs w:val="21"/>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left"/>
        <w:rPr>
          <w:rFonts w:hint="eastAsia"/>
        </w:rPr>
      </w:pPr>
    </w:p>
    <w:sectPr>
      <w:footerReference r:id="rId8" w:type="default"/>
      <w:pgSz w:w="11907" w:h="16840"/>
      <w:pgMar w:top="1089" w:right="1797" w:bottom="935" w:left="1402" w:header="851" w:footer="992" w:gutter="0"/>
      <w:pgNumType w:fmt="numberInDash" w:start="1"/>
      <w:cols w:space="720" w:num="1"/>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tbl>
    <w:tblPr>
      <w:tblStyle w:val="19"/>
      <w:tblW w:w="8543" w:type="dxa"/>
      <w:tblInd w:w="0" w:type="dxa"/>
      <w:tblLayout w:type="fixed"/>
      <w:tblCellMar>
        <w:top w:w="72" w:type="dxa"/>
        <w:left w:w="115" w:type="dxa"/>
        <w:bottom w:w="72" w:type="dxa"/>
        <w:right w:w="115" w:type="dxa"/>
      </w:tblCellMar>
    </w:tblPr>
    <w:tblGrid>
      <w:gridCol w:w="7689"/>
      <w:gridCol w:w="854"/>
    </w:tblGrid>
    <w:tr>
      <w:tblPrEx>
        <w:tblCellMar>
          <w:top w:w="72" w:type="dxa"/>
          <w:left w:w="115" w:type="dxa"/>
          <w:bottom w:w="72" w:type="dxa"/>
          <w:right w:w="115" w:type="dxa"/>
        </w:tblCellMar>
      </w:tblPrEx>
      <w:tc>
        <w:tcPr>
          <w:tcW w:w="7689" w:type="dxa"/>
          <w:tcBorders>
            <w:top w:val="single" w:color="000000" w:sz="4" w:space="0"/>
            <w:left w:val="nil"/>
            <w:bottom w:val="nil"/>
            <w:right w:val="nil"/>
          </w:tcBorders>
          <w:shd w:val="clear" w:color="auto" w:fill="auto"/>
        </w:tcPr>
        <w:p>
          <w:pPr>
            <w:pStyle w:val="17"/>
            <w:widowControl w:val="0"/>
            <w:tabs>
              <w:tab w:val="center" w:pos="4153"/>
              <w:tab w:val="right" w:pos="8306"/>
            </w:tabs>
            <w:snapToGrid w:val="0"/>
            <w:spacing w:before="0" w:beforeAutospacing="0" w:after="0" w:afterAutospacing="0" w:line="360" w:lineRule="auto"/>
            <w:ind w:firstLine="420" w:firstLineChars="200"/>
            <w:jc w:val="right"/>
            <w:rPr>
              <w:rFonts w:ascii="华文行楷" w:hAnsi="华文行楷" w:eastAsia="华文行楷" w:cs="华文行楷"/>
              <w:color w:val="A6A6A6"/>
              <w:kern w:val="2"/>
              <w:sz w:val="21"/>
              <w:szCs w:val="21"/>
            </w:rPr>
          </w:pPr>
          <w:r>
            <w:rPr>
              <w:rFonts w:hint="eastAsia" w:ascii="华文行楷" w:hAnsi="华文行楷" w:eastAsia="华文行楷" w:cs="华文行楷"/>
              <w:color w:val="A6A6A6"/>
              <w:kern w:val="2"/>
              <w:sz w:val="21"/>
              <w:szCs w:val="21"/>
            </w:rPr>
            <w:drawing>
              <wp:inline distT="0" distB="0" distL="114300" distR="114300">
                <wp:extent cx="1666875" cy="285750"/>
                <wp:effectExtent l="0" t="0" r="9525" b="3810"/>
                <wp:docPr id="3" name="图片 1" descr="正信名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正信名头1"/>
                        <pic:cNvPicPr>
                          <a:picLocks noChangeAspect="1"/>
                        </pic:cNvPicPr>
                      </pic:nvPicPr>
                      <pic:blipFill>
                        <a:blip r:embed="rId1"/>
                        <a:stretch>
                          <a:fillRect/>
                        </a:stretch>
                      </pic:blipFill>
                      <pic:spPr>
                        <a:xfrm>
                          <a:off x="0" y="0"/>
                          <a:ext cx="1666875" cy="285750"/>
                        </a:xfrm>
                        <a:prstGeom prst="rect">
                          <a:avLst/>
                        </a:prstGeom>
                        <a:noFill/>
                        <a:ln w="9525">
                          <a:noFill/>
                        </a:ln>
                      </pic:spPr>
                    </pic:pic>
                  </a:graphicData>
                </a:graphic>
              </wp:inline>
            </w:drawing>
          </w:r>
        </w:p>
      </w:tc>
      <w:tc>
        <w:tcPr>
          <w:tcW w:w="854" w:type="dxa"/>
          <w:tcBorders>
            <w:top w:val="single" w:color="C0504D" w:sz="4" w:space="0"/>
            <w:left w:val="nil"/>
            <w:bottom w:val="nil"/>
            <w:right w:val="nil"/>
          </w:tcBorders>
          <w:shd w:val="clear" w:color="auto" w:fill="943634"/>
        </w:tcPr>
        <w:p>
          <w:pPr>
            <w:pStyle w:val="17"/>
            <w:widowControl w:val="0"/>
            <w:pBdr>
              <w:bottom w:val="single" w:color="auto" w:sz="6" w:space="1"/>
            </w:pBdr>
            <w:tabs>
              <w:tab w:val="center" w:pos="4153"/>
              <w:tab w:val="right" w:pos="8306"/>
            </w:tabs>
            <w:snapToGrid w:val="0"/>
            <w:spacing w:before="0" w:beforeAutospacing="0" w:after="0" w:afterAutospacing="0" w:line="360" w:lineRule="auto"/>
            <w:ind w:firstLine="266" w:firstLineChars="111"/>
            <w:rPr>
              <w:color w:val="FFFFFF"/>
              <w:kern w:val="2"/>
            </w:rPr>
          </w:pP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bottom w:val="single" w:color="auto" w:sz="6" w:space="1"/>
      </w:pBdr>
      <w:tabs>
        <w:tab w:val="center" w:pos="4153"/>
        <w:tab w:val="right" w:pos="8306"/>
      </w:tabs>
      <w:snapToGrid w:val="0"/>
      <w:spacing w:before="0" w:beforeAutospacing="0" w:after="0" w:afterAutospacing="0"/>
      <w:jc w:val="center"/>
    </w:pPr>
    <w:r>
      <w:rPr>
        <w:rFonts w:hint="eastAsia"/>
        <w:sz w:val="18"/>
        <w:szCs w:val="18"/>
        <w:lang w:eastAsia="zh-CN"/>
      </w:rPr>
      <w:t>哈尔滨工程大学2020级新生被品采购项目</w:t>
    </w:r>
    <w:r>
      <w:rPr>
        <w:rFonts w:hint="eastAsia"/>
        <w:sz w:val="18"/>
        <w:szCs w:val="18"/>
      </w:rPr>
      <w:t>竞争性磋商文件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MediumGap" w:color="auto" w:sz="18" w:space="1"/>
      </w:pBdr>
      <w:jc w:val="right"/>
      <w:rPr>
        <w:rFonts w:hint="default"/>
        <w:lang w:val="en-US"/>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13335</wp:posOffset>
          </wp:positionH>
          <wp:positionV relativeFrom="paragraph">
            <wp:posOffset>-77470</wp:posOffset>
          </wp:positionV>
          <wp:extent cx="716280" cy="284480"/>
          <wp:effectExtent l="0" t="0" r="7620" b="127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color w:val="000000"/>
        <w:kern w:val="0"/>
        <w:sz w:val="21"/>
        <w:szCs w:val="21"/>
        <w:highlight w:val="none"/>
        <w:lang w:eastAsia="zh-CN"/>
      </w:rPr>
      <w:t>哈尔滨工程大学2020级新生被品采购项目磋商文件</w:t>
    </w:r>
    <w:r>
      <w:rPr>
        <w:rFonts w:hint="eastAsia"/>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6B635"/>
    <w:multiLevelType w:val="singleLevel"/>
    <w:tmpl w:val="5576B63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5A"/>
    <w:rsid w:val="00047BE5"/>
    <w:rsid w:val="000832C7"/>
    <w:rsid w:val="000C23D3"/>
    <w:rsid w:val="000F66C4"/>
    <w:rsid w:val="001662A0"/>
    <w:rsid w:val="001D480A"/>
    <w:rsid w:val="00207E30"/>
    <w:rsid w:val="002606A5"/>
    <w:rsid w:val="002775B1"/>
    <w:rsid w:val="002C28EF"/>
    <w:rsid w:val="0032289F"/>
    <w:rsid w:val="003646AC"/>
    <w:rsid w:val="0038745A"/>
    <w:rsid w:val="004139BE"/>
    <w:rsid w:val="00530519"/>
    <w:rsid w:val="00583E08"/>
    <w:rsid w:val="00586DD4"/>
    <w:rsid w:val="005E5EAE"/>
    <w:rsid w:val="00615EB6"/>
    <w:rsid w:val="00646B63"/>
    <w:rsid w:val="006B0047"/>
    <w:rsid w:val="006B3128"/>
    <w:rsid w:val="006C5C72"/>
    <w:rsid w:val="006D1C81"/>
    <w:rsid w:val="00722AB5"/>
    <w:rsid w:val="007B5148"/>
    <w:rsid w:val="007B542E"/>
    <w:rsid w:val="007F075E"/>
    <w:rsid w:val="00821181"/>
    <w:rsid w:val="00835FFA"/>
    <w:rsid w:val="008D4008"/>
    <w:rsid w:val="008D6035"/>
    <w:rsid w:val="008E0976"/>
    <w:rsid w:val="00916441"/>
    <w:rsid w:val="00916F04"/>
    <w:rsid w:val="009C22AB"/>
    <w:rsid w:val="009C2618"/>
    <w:rsid w:val="009D329E"/>
    <w:rsid w:val="009D5C4D"/>
    <w:rsid w:val="00A07168"/>
    <w:rsid w:val="00A63CCF"/>
    <w:rsid w:val="00AD44A0"/>
    <w:rsid w:val="00B0198F"/>
    <w:rsid w:val="00B24B7B"/>
    <w:rsid w:val="00B65644"/>
    <w:rsid w:val="00B932A2"/>
    <w:rsid w:val="00BA25DE"/>
    <w:rsid w:val="00BC3311"/>
    <w:rsid w:val="00BD2825"/>
    <w:rsid w:val="00C61008"/>
    <w:rsid w:val="00C65E46"/>
    <w:rsid w:val="00C67524"/>
    <w:rsid w:val="00C81A33"/>
    <w:rsid w:val="00CB416B"/>
    <w:rsid w:val="00D1067F"/>
    <w:rsid w:val="00DA6F79"/>
    <w:rsid w:val="00DB4A3C"/>
    <w:rsid w:val="00E02215"/>
    <w:rsid w:val="00E25838"/>
    <w:rsid w:val="00E266D9"/>
    <w:rsid w:val="00F364C3"/>
    <w:rsid w:val="00FF1DD2"/>
    <w:rsid w:val="017F5A23"/>
    <w:rsid w:val="01BA694A"/>
    <w:rsid w:val="01FA190B"/>
    <w:rsid w:val="020743E8"/>
    <w:rsid w:val="03196622"/>
    <w:rsid w:val="03611398"/>
    <w:rsid w:val="039C66CE"/>
    <w:rsid w:val="04224963"/>
    <w:rsid w:val="0445458E"/>
    <w:rsid w:val="044744FB"/>
    <w:rsid w:val="04820814"/>
    <w:rsid w:val="04D33698"/>
    <w:rsid w:val="05343B26"/>
    <w:rsid w:val="05981513"/>
    <w:rsid w:val="05F229BA"/>
    <w:rsid w:val="06EF3759"/>
    <w:rsid w:val="07191C7F"/>
    <w:rsid w:val="07F83D5D"/>
    <w:rsid w:val="07FA2DC3"/>
    <w:rsid w:val="08A53D2E"/>
    <w:rsid w:val="08A87D06"/>
    <w:rsid w:val="08F250B7"/>
    <w:rsid w:val="08F7730A"/>
    <w:rsid w:val="0907309A"/>
    <w:rsid w:val="09E10EE3"/>
    <w:rsid w:val="09E4726C"/>
    <w:rsid w:val="0A3E09F1"/>
    <w:rsid w:val="0A5C7CD6"/>
    <w:rsid w:val="0ADA5488"/>
    <w:rsid w:val="0AF23477"/>
    <w:rsid w:val="0B7B53B6"/>
    <w:rsid w:val="0B8A242A"/>
    <w:rsid w:val="0B9C4257"/>
    <w:rsid w:val="0C28014D"/>
    <w:rsid w:val="0C373FA6"/>
    <w:rsid w:val="0C640E15"/>
    <w:rsid w:val="0C706F19"/>
    <w:rsid w:val="0CBA372D"/>
    <w:rsid w:val="0CD3730A"/>
    <w:rsid w:val="0D3C4EE5"/>
    <w:rsid w:val="0D4D0822"/>
    <w:rsid w:val="0D520D96"/>
    <w:rsid w:val="0DAF23CA"/>
    <w:rsid w:val="0E496A3B"/>
    <w:rsid w:val="0E5B6BCB"/>
    <w:rsid w:val="0E8A19E7"/>
    <w:rsid w:val="0EE6237F"/>
    <w:rsid w:val="0EEA2F91"/>
    <w:rsid w:val="0EEE4DE9"/>
    <w:rsid w:val="0F5633FA"/>
    <w:rsid w:val="0F6A14FA"/>
    <w:rsid w:val="0FB95500"/>
    <w:rsid w:val="0FD65E91"/>
    <w:rsid w:val="0FDA7272"/>
    <w:rsid w:val="100D2156"/>
    <w:rsid w:val="10304DE9"/>
    <w:rsid w:val="10B91EF5"/>
    <w:rsid w:val="111E5B44"/>
    <w:rsid w:val="11B81B84"/>
    <w:rsid w:val="11B92834"/>
    <w:rsid w:val="11CE503E"/>
    <w:rsid w:val="12087A3F"/>
    <w:rsid w:val="122A5D10"/>
    <w:rsid w:val="132C7809"/>
    <w:rsid w:val="134E76D6"/>
    <w:rsid w:val="13924B1C"/>
    <w:rsid w:val="142372AB"/>
    <w:rsid w:val="144207ED"/>
    <w:rsid w:val="149E4E20"/>
    <w:rsid w:val="14CA1D7A"/>
    <w:rsid w:val="1500725F"/>
    <w:rsid w:val="15025E8A"/>
    <w:rsid w:val="15F2652F"/>
    <w:rsid w:val="15F80160"/>
    <w:rsid w:val="161A79AF"/>
    <w:rsid w:val="165D5D1C"/>
    <w:rsid w:val="16946800"/>
    <w:rsid w:val="16A04B15"/>
    <w:rsid w:val="17293E28"/>
    <w:rsid w:val="17B30DB3"/>
    <w:rsid w:val="18053486"/>
    <w:rsid w:val="188273DD"/>
    <w:rsid w:val="188E6777"/>
    <w:rsid w:val="18CE152A"/>
    <w:rsid w:val="1917143C"/>
    <w:rsid w:val="199A3E19"/>
    <w:rsid w:val="19EE6A55"/>
    <w:rsid w:val="1A21156C"/>
    <w:rsid w:val="1B1C5903"/>
    <w:rsid w:val="1B775151"/>
    <w:rsid w:val="1BD321D4"/>
    <w:rsid w:val="1C087973"/>
    <w:rsid w:val="1C4764BA"/>
    <w:rsid w:val="1C616A25"/>
    <w:rsid w:val="1D012A34"/>
    <w:rsid w:val="1D1D5B29"/>
    <w:rsid w:val="1D6C63D6"/>
    <w:rsid w:val="1D842C9B"/>
    <w:rsid w:val="1DA7393F"/>
    <w:rsid w:val="1DD9729B"/>
    <w:rsid w:val="1E1036B4"/>
    <w:rsid w:val="1E501EA8"/>
    <w:rsid w:val="1F7A7D9C"/>
    <w:rsid w:val="1FB4350B"/>
    <w:rsid w:val="1FDE07AA"/>
    <w:rsid w:val="1FF30823"/>
    <w:rsid w:val="20907C82"/>
    <w:rsid w:val="21005729"/>
    <w:rsid w:val="219D086D"/>
    <w:rsid w:val="21A54F6C"/>
    <w:rsid w:val="220024E7"/>
    <w:rsid w:val="220C7A47"/>
    <w:rsid w:val="223528F8"/>
    <w:rsid w:val="224A5782"/>
    <w:rsid w:val="225B0359"/>
    <w:rsid w:val="22AA1367"/>
    <w:rsid w:val="23B41129"/>
    <w:rsid w:val="23C76B4A"/>
    <w:rsid w:val="23ED32E6"/>
    <w:rsid w:val="24497052"/>
    <w:rsid w:val="24EE7865"/>
    <w:rsid w:val="24EF69FC"/>
    <w:rsid w:val="25387074"/>
    <w:rsid w:val="256D752A"/>
    <w:rsid w:val="25726037"/>
    <w:rsid w:val="258770D1"/>
    <w:rsid w:val="25D51E89"/>
    <w:rsid w:val="25F328E8"/>
    <w:rsid w:val="262D7AA5"/>
    <w:rsid w:val="269312C9"/>
    <w:rsid w:val="26C70531"/>
    <w:rsid w:val="26F009A7"/>
    <w:rsid w:val="26FD010D"/>
    <w:rsid w:val="281E0F1E"/>
    <w:rsid w:val="281F7509"/>
    <w:rsid w:val="282B448B"/>
    <w:rsid w:val="295E29F9"/>
    <w:rsid w:val="298C4C18"/>
    <w:rsid w:val="29D239ED"/>
    <w:rsid w:val="29FB7794"/>
    <w:rsid w:val="2A276947"/>
    <w:rsid w:val="2A6A5DDF"/>
    <w:rsid w:val="2A966C10"/>
    <w:rsid w:val="2AA42F9C"/>
    <w:rsid w:val="2AB80D08"/>
    <w:rsid w:val="2BD14098"/>
    <w:rsid w:val="2C2A0420"/>
    <w:rsid w:val="2C354A71"/>
    <w:rsid w:val="2CCE1DB2"/>
    <w:rsid w:val="2D9C4251"/>
    <w:rsid w:val="2DE52571"/>
    <w:rsid w:val="2E5759E1"/>
    <w:rsid w:val="2E902201"/>
    <w:rsid w:val="2EAF4004"/>
    <w:rsid w:val="2ECA2081"/>
    <w:rsid w:val="2F1957AA"/>
    <w:rsid w:val="2F4E4496"/>
    <w:rsid w:val="2F841FE7"/>
    <w:rsid w:val="2F9A5FE5"/>
    <w:rsid w:val="2F9E16B9"/>
    <w:rsid w:val="2FB973E8"/>
    <w:rsid w:val="30237D25"/>
    <w:rsid w:val="304812A5"/>
    <w:rsid w:val="31284FE6"/>
    <w:rsid w:val="317D4AC1"/>
    <w:rsid w:val="31B84A95"/>
    <w:rsid w:val="3254621E"/>
    <w:rsid w:val="32672A55"/>
    <w:rsid w:val="330608B6"/>
    <w:rsid w:val="33DB68C4"/>
    <w:rsid w:val="344D6E3E"/>
    <w:rsid w:val="344E335E"/>
    <w:rsid w:val="3488773F"/>
    <w:rsid w:val="34C1048C"/>
    <w:rsid w:val="355C2A2E"/>
    <w:rsid w:val="36470121"/>
    <w:rsid w:val="36547876"/>
    <w:rsid w:val="36E02A0F"/>
    <w:rsid w:val="36EC12A5"/>
    <w:rsid w:val="372974A3"/>
    <w:rsid w:val="37397773"/>
    <w:rsid w:val="374E5850"/>
    <w:rsid w:val="378A7FA2"/>
    <w:rsid w:val="379D4DB3"/>
    <w:rsid w:val="37D40CDE"/>
    <w:rsid w:val="380A0544"/>
    <w:rsid w:val="381A757E"/>
    <w:rsid w:val="384774D0"/>
    <w:rsid w:val="384F2C12"/>
    <w:rsid w:val="38916240"/>
    <w:rsid w:val="38C9727E"/>
    <w:rsid w:val="39102027"/>
    <w:rsid w:val="39857A23"/>
    <w:rsid w:val="39A75B3A"/>
    <w:rsid w:val="39F011EE"/>
    <w:rsid w:val="3A074C91"/>
    <w:rsid w:val="3A2C2AEB"/>
    <w:rsid w:val="3AD76EE6"/>
    <w:rsid w:val="3AF17611"/>
    <w:rsid w:val="3B620FCD"/>
    <w:rsid w:val="3B675056"/>
    <w:rsid w:val="3BAA1559"/>
    <w:rsid w:val="3D18191F"/>
    <w:rsid w:val="3D423DE4"/>
    <w:rsid w:val="3D52616A"/>
    <w:rsid w:val="3D661EB4"/>
    <w:rsid w:val="3DFC68BE"/>
    <w:rsid w:val="3E7D4E6C"/>
    <w:rsid w:val="3E876B57"/>
    <w:rsid w:val="3EA877FB"/>
    <w:rsid w:val="3F43650E"/>
    <w:rsid w:val="3F4C486C"/>
    <w:rsid w:val="3F5A55EE"/>
    <w:rsid w:val="3FA11CBB"/>
    <w:rsid w:val="3FA70363"/>
    <w:rsid w:val="3FCD6105"/>
    <w:rsid w:val="408447D0"/>
    <w:rsid w:val="40D2588F"/>
    <w:rsid w:val="415E73E4"/>
    <w:rsid w:val="41634485"/>
    <w:rsid w:val="41700CF1"/>
    <w:rsid w:val="41A551EF"/>
    <w:rsid w:val="41FE69E4"/>
    <w:rsid w:val="425351D7"/>
    <w:rsid w:val="42944682"/>
    <w:rsid w:val="42BA6DD5"/>
    <w:rsid w:val="42C87A31"/>
    <w:rsid w:val="42F11A19"/>
    <w:rsid w:val="43040AF8"/>
    <w:rsid w:val="43107B8C"/>
    <w:rsid w:val="43D45E7E"/>
    <w:rsid w:val="44081CE3"/>
    <w:rsid w:val="444F16DA"/>
    <w:rsid w:val="44D64778"/>
    <w:rsid w:val="44DC2062"/>
    <w:rsid w:val="45663660"/>
    <w:rsid w:val="459A0FDA"/>
    <w:rsid w:val="45A01EFE"/>
    <w:rsid w:val="45C842F6"/>
    <w:rsid w:val="45FF1E30"/>
    <w:rsid w:val="464858E6"/>
    <w:rsid w:val="465015DF"/>
    <w:rsid w:val="468E5695"/>
    <w:rsid w:val="46930980"/>
    <w:rsid w:val="46ED25DB"/>
    <w:rsid w:val="475C1665"/>
    <w:rsid w:val="47670323"/>
    <w:rsid w:val="47981F6D"/>
    <w:rsid w:val="48674FE0"/>
    <w:rsid w:val="488D3F83"/>
    <w:rsid w:val="489D744C"/>
    <w:rsid w:val="48E8578B"/>
    <w:rsid w:val="49164110"/>
    <w:rsid w:val="494277D6"/>
    <w:rsid w:val="498666EB"/>
    <w:rsid w:val="49936D79"/>
    <w:rsid w:val="499D2F63"/>
    <w:rsid w:val="49CF313E"/>
    <w:rsid w:val="49DF273C"/>
    <w:rsid w:val="49EC5D1F"/>
    <w:rsid w:val="4A790AE6"/>
    <w:rsid w:val="4AE32A46"/>
    <w:rsid w:val="4B19176C"/>
    <w:rsid w:val="4B3514C3"/>
    <w:rsid w:val="4B481012"/>
    <w:rsid w:val="4B6D52F0"/>
    <w:rsid w:val="4B9B76B9"/>
    <w:rsid w:val="4BA9532F"/>
    <w:rsid w:val="4BDF76CE"/>
    <w:rsid w:val="4C103449"/>
    <w:rsid w:val="4C1927DE"/>
    <w:rsid w:val="4C25494E"/>
    <w:rsid w:val="4D0B73AD"/>
    <w:rsid w:val="4D4B3948"/>
    <w:rsid w:val="4D632DAC"/>
    <w:rsid w:val="4E0252FF"/>
    <w:rsid w:val="4E611B1E"/>
    <w:rsid w:val="4EAC6901"/>
    <w:rsid w:val="4EBF1788"/>
    <w:rsid w:val="4EFC0BEA"/>
    <w:rsid w:val="4FF92C7E"/>
    <w:rsid w:val="50243ED3"/>
    <w:rsid w:val="50BA1BA0"/>
    <w:rsid w:val="50D44C1F"/>
    <w:rsid w:val="50EF3C7A"/>
    <w:rsid w:val="51302794"/>
    <w:rsid w:val="51617FB5"/>
    <w:rsid w:val="5210461F"/>
    <w:rsid w:val="52B12682"/>
    <w:rsid w:val="53A2743F"/>
    <w:rsid w:val="53A56E41"/>
    <w:rsid w:val="53DF2889"/>
    <w:rsid w:val="550173DB"/>
    <w:rsid w:val="553E3BA0"/>
    <w:rsid w:val="56026917"/>
    <w:rsid w:val="56394C3B"/>
    <w:rsid w:val="57107769"/>
    <w:rsid w:val="57655C0D"/>
    <w:rsid w:val="57665D1B"/>
    <w:rsid w:val="5786211A"/>
    <w:rsid w:val="57DD01BB"/>
    <w:rsid w:val="58184E84"/>
    <w:rsid w:val="58336974"/>
    <w:rsid w:val="58CA5FA4"/>
    <w:rsid w:val="58D95C79"/>
    <w:rsid w:val="597554AE"/>
    <w:rsid w:val="597F3B43"/>
    <w:rsid w:val="59A11158"/>
    <w:rsid w:val="59A66FA5"/>
    <w:rsid w:val="59C7537F"/>
    <w:rsid w:val="5A680C74"/>
    <w:rsid w:val="5AC239AC"/>
    <w:rsid w:val="5B551E6D"/>
    <w:rsid w:val="5B6D7504"/>
    <w:rsid w:val="5B9E4E11"/>
    <w:rsid w:val="5BB10E82"/>
    <w:rsid w:val="5C577976"/>
    <w:rsid w:val="5C5E0D50"/>
    <w:rsid w:val="5C8815DE"/>
    <w:rsid w:val="5CB9690F"/>
    <w:rsid w:val="5CEB585B"/>
    <w:rsid w:val="5CF60014"/>
    <w:rsid w:val="5D14121C"/>
    <w:rsid w:val="5D1E4238"/>
    <w:rsid w:val="5D1E7C35"/>
    <w:rsid w:val="5D7E6636"/>
    <w:rsid w:val="5D804C3D"/>
    <w:rsid w:val="5D990B4B"/>
    <w:rsid w:val="5DA5741B"/>
    <w:rsid w:val="5DE3693D"/>
    <w:rsid w:val="5DE6545A"/>
    <w:rsid w:val="5E1759F5"/>
    <w:rsid w:val="5E715B35"/>
    <w:rsid w:val="5F863DFE"/>
    <w:rsid w:val="5FBB10EE"/>
    <w:rsid w:val="5FCB701D"/>
    <w:rsid w:val="60637A3C"/>
    <w:rsid w:val="6088259C"/>
    <w:rsid w:val="60A20EF2"/>
    <w:rsid w:val="617A6E6A"/>
    <w:rsid w:val="61D94F4C"/>
    <w:rsid w:val="62217753"/>
    <w:rsid w:val="62944EAA"/>
    <w:rsid w:val="637C2C25"/>
    <w:rsid w:val="63822478"/>
    <w:rsid w:val="640249FC"/>
    <w:rsid w:val="647922B7"/>
    <w:rsid w:val="647D2A9B"/>
    <w:rsid w:val="64955AEC"/>
    <w:rsid w:val="649E743A"/>
    <w:rsid w:val="64B00143"/>
    <w:rsid w:val="65087EBE"/>
    <w:rsid w:val="652E131F"/>
    <w:rsid w:val="6579106C"/>
    <w:rsid w:val="659251B9"/>
    <w:rsid w:val="65CF134B"/>
    <w:rsid w:val="66AB479B"/>
    <w:rsid w:val="66AC6B5C"/>
    <w:rsid w:val="66D121DB"/>
    <w:rsid w:val="67073103"/>
    <w:rsid w:val="67B66D2C"/>
    <w:rsid w:val="67D474B8"/>
    <w:rsid w:val="682D75F7"/>
    <w:rsid w:val="687E7D79"/>
    <w:rsid w:val="6882624B"/>
    <w:rsid w:val="68A6172F"/>
    <w:rsid w:val="68B60540"/>
    <w:rsid w:val="68F51430"/>
    <w:rsid w:val="696132E9"/>
    <w:rsid w:val="69631527"/>
    <w:rsid w:val="6983031A"/>
    <w:rsid w:val="69945A9D"/>
    <w:rsid w:val="699B1E70"/>
    <w:rsid w:val="69D842A8"/>
    <w:rsid w:val="69D9618E"/>
    <w:rsid w:val="6A143A53"/>
    <w:rsid w:val="6AE13C40"/>
    <w:rsid w:val="6B0B4913"/>
    <w:rsid w:val="6B1D1742"/>
    <w:rsid w:val="6B385477"/>
    <w:rsid w:val="6BEE78B7"/>
    <w:rsid w:val="6C0A1F59"/>
    <w:rsid w:val="6C1052FC"/>
    <w:rsid w:val="6C935C22"/>
    <w:rsid w:val="6CB626E0"/>
    <w:rsid w:val="6CCF09D7"/>
    <w:rsid w:val="6D097428"/>
    <w:rsid w:val="6D1A653B"/>
    <w:rsid w:val="6D921CD5"/>
    <w:rsid w:val="6DCA4EB2"/>
    <w:rsid w:val="6DCF5C7A"/>
    <w:rsid w:val="6E2544C9"/>
    <w:rsid w:val="6E29110E"/>
    <w:rsid w:val="6EAC7C83"/>
    <w:rsid w:val="6EBC2DEB"/>
    <w:rsid w:val="6F357A85"/>
    <w:rsid w:val="6F7A395D"/>
    <w:rsid w:val="6F9E7AB4"/>
    <w:rsid w:val="70291B97"/>
    <w:rsid w:val="703125A4"/>
    <w:rsid w:val="70AE4211"/>
    <w:rsid w:val="70F76B09"/>
    <w:rsid w:val="711A21C6"/>
    <w:rsid w:val="712C3FB8"/>
    <w:rsid w:val="71A027FB"/>
    <w:rsid w:val="71EF0FC9"/>
    <w:rsid w:val="71FC0D02"/>
    <w:rsid w:val="72063061"/>
    <w:rsid w:val="72E66025"/>
    <w:rsid w:val="733736D1"/>
    <w:rsid w:val="738753A0"/>
    <w:rsid w:val="73A24078"/>
    <w:rsid w:val="73AD534C"/>
    <w:rsid w:val="73B23877"/>
    <w:rsid w:val="73DC4596"/>
    <w:rsid w:val="73FD63CD"/>
    <w:rsid w:val="7428716F"/>
    <w:rsid w:val="742F4771"/>
    <w:rsid w:val="749412EE"/>
    <w:rsid w:val="749624BA"/>
    <w:rsid w:val="75021933"/>
    <w:rsid w:val="75512303"/>
    <w:rsid w:val="75582692"/>
    <w:rsid w:val="757B125F"/>
    <w:rsid w:val="759B2516"/>
    <w:rsid w:val="760F4C10"/>
    <w:rsid w:val="768A4282"/>
    <w:rsid w:val="76FE3637"/>
    <w:rsid w:val="77AB0EF3"/>
    <w:rsid w:val="782A5E63"/>
    <w:rsid w:val="78DC3575"/>
    <w:rsid w:val="79211D6D"/>
    <w:rsid w:val="793D5111"/>
    <w:rsid w:val="794A45AF"/>
    <w:rsid w:val="795858D0"/>
    <w:rsid w:val="79A30089"/>
    <w:rsid w:val="79A41C17"/>
    <w:rsid w:val="79E815FF"/>
    <w:rsid w:val="79EA18F0"/>
    <w:rsid w:val="7A535BCD"/>
    <w:rsid w:val="7A76043B"/>
    <w:rsid w:val="7AC57B27"/>
    <w:rsid w:val="7AEC177C"/>
    <w:rsid w:val="7B7501BF"/>
    <w:rsid w:val="7BC5006E"/>
    <w:rsid w:val="7BE10032"/>
    <w:rsid w:val="7C680DB1"/>
    <w:rsid w:val="7C9D230A"/>
    <w:rsid w:val="7CD403DC"/>
    <w:rsid w:val="7D374584"/>
    <w:rsid w:val="7D492687"/>
    <w:rsid w:val="7D8F6854"/>
    <w:rsid w:val="7DD775E1"/>
    <w:rsid w:val="7DE9138A"/>
    <w:rsid w:val="7E527E08"/>
    <w:rsid w:val="7E9B63B4"/>
    <w:rsid w:val="7EAF045C"/>
    <w:rsid w:val="7F1B6A22"/>
    <w:rsid w:val="7F3373BD"/>
    <w:rsid w:val="7F681F92"/>
    <w:rsid w:val="7F6F48D7"/>
    <w:rsid w:val="7F7F02F6"/>
    <w:rsid w:val="7F983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link w:val="44"/>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7">
    <w:name w:val="heading 3"/>
    <w:basedOn w:val="1"/>
    <w:next w:val="1"/>
    <w:link w:val="36"/>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39"/>
    <w:unhideWhenUsed/>
    <w:qFormat/>
    <w:uiPriority w:val="99"/>
    <w:pPr>
      <w:jc w:val="left"/>
    </w:pPr>
  </w:style>
  <w:style w:type="paragraph" w:styleId="9">
    <w:name w:val="Body Text Indent"/>
    <w:basedOn w:val="1"/>
    <w:link w:val="32"/>
    <w:unhideWhenUsed/>
    <w:qFormat/>
    <w:uiPriority w:val="99"/>
    <w:pPr>
      <w:ind w:firstLine="600" w:firstLineChars="200"/>
    </w:pPr>
    <w:rPr>
      <w:rFonts w:ascii="Times New Roman" w:hAnsi="Times New Roman" w:eastAsia="楷体_GB2312" w:cs="Times New Roman"/>
      <w:sz w:val="30"/>
      <w:szCs w:val="20"/>
    </w:r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link w:val="33"/>
    <w:unhideWhenUsed/>
    <w:qFormat/>
    <w:uiPriority w:val="99"/>
    <w:pPr>
      <w:ind w:left="600"/>
    </w:pPr>
    <w:rPr>
      <w:rFonts w:ascii="Times New Roman" w:hAnsi="Times New Roman" w:eastAsia="楷体_GB2312" w:cs="Times New Roman"/>
      <w:sz w:val="30"/>
      <w:szCs w:val="20"/>
    </w:rPr>
  </w:style>
  <w:style w:type="paragraph" w:styleId="12">
    <w:name w:val="Balloon Text"/>
    <w:basedOn w:val="1"/>
    <w:link w:val="37"/>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0"/>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18">
    <w:name w:val="annotation subject"/>
    <w:basedOn w:val="8"/>
    <w:next w:val="8"/>
    <w:link w:val="4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ahoma" w:hAnsi="Tahoma"/>
      <w:b/>
      <w:bCs/>
      <w:sz w:val="24"/>
      <w:szCs w:val="20"/>
    </w:rPr>
  </w:style>
  <w:style w:type="character" w:styleId="23">
    <w:name w:val="page number"/>
    <w:basedOn w:val="21"/>
    <w:unhideWhenUsed/>
    <w:qFormat/>
    <w:uiPriority w:val="99"/>
    <w:rPr>
      <w:rFonts w:ascii="Tahoma" w:hAnsi="Tahoma"/>
      <w:sz w:val="24"/>
      <w:szCs w:val="20"/>
    </w:rPr>
  </w:style>
  <w:style w:type="character" w:styleId="24">
    <w:name w:val="FollowedHyperlink"/>
    <w:basedOn w:val="21"/>
    <w:unhideWhenUsed/>
    <w:qFormat/>
    <w:uiPriority w:val="99"/>
    <w:rPr>
      <w:rFonts w:ascii="Tahoma" w:hAnsi="Tahoma"/>
      <w:color w:val="800080"/>
      <w:sz w:val="24"/>
      <w:szCs w:val="20"/>
      <w:u w:val="single"/>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99"/>
    <w:rPr>
      <w:sz w:val="21"/>
      <w:szCs w:val="21"/>
    </w:rPr>
  </w:style>
  <w:style w:type="character" w:customStyle="1" w:styleId="27">
    <w:name w:val="页眉 Char"/>
    <w:basedOn w:val="21"/>
    <w:semiHidden/>
    <w:qFormat/>
    <w:uiPriority w:val="99"/>
    <w:rPr>
      <w:sz w:val="18"/>
      <w:szCs w:val="18"/>
    </w:rPr>
  </w:style>
  <w:style w:type="character" w:customStyle="1" w:styleId="28">
    <w:name w:val="页脚 Char"/>
    <w:basedOn w:val="21"/>
    <w:semiHidden/>
    <w:qFormat/>
    <w:uiPriority w:val="99"/>
    <w:rPr>
      <w:sz w:val="18"/>
      <w:szCs w:val="18"/>
    </w:rPr>
  </w:style>
  <w:style w:type="character" w:customStyle="1" w:styleId="29">
    <w:name w:val="标题 1 Char"/>
    <w:basedOn w:val="21"/>
    <w:link w:val="5"/>
    <w:qFormat/>
    <w:uiPriority w:val="0"/>
    <w:rPr>
      <w:rFonts w:ascii="Times New Roman" w:hAnsi="Times New Roman" w:eastAsia="宋体" w:cs="Times New Roman"/>
      <w:b/>
      <w:kern w:val="44"/>
      <w:sz w:val="44"/>
      <w:szCs w:val="20"/>
    </w:rPr>
  </w:style>
  <w:style w:type="character" w:customStyle="1" w:styleId="30">
    <w:name w:val="标题 2 Char"/>
    <w:basedOn w:val="21"/>
    <w:link w:val="6"/>
    <w:qFormat/>
    <w:uiPriority w:val="0"/>
    <w:rPr>
      <w:rFonts w:ascii="Arial" w:hAnsi="Arial" w:eastAsia="黑体" w:cs="Times New Roman"/>
      <w:b/>
      <w:kern w:val="0"/>
      <w:sz w:val="32"/>
      <w:szCs w:val="20"/>
    </w:rPr>
  </w:style>
  <w:style w:type="paragraph" w:customStyle="1" w:styleId="31">
    <w:name w:val="Char"/>
    <w:basedOn w:val="1"/>
    <w:qFormat/>
    <w:uiPriority w:val="0"/>
    <w:rPr>
      <w:rFonts w:ascii="Tahoma" w:hAnsi="Tahoma" w:eastAsia="宋体" w:cs="Times New Roman"/>
      <w:sz w:val="24"/>
      <w:szCs w:val="20"/>
    </w:rPr>
  </w:style>
  <w:style w:type="character" w:customStyle="1" w:styleId="32">
    <w:name w:val="正文文本缩进 Char"/>
    <w:basedOn w:val="21"/>
    <w:link w:val="9"/>
    <w:qFormat/>
    <w:uiPriority w:val="99"/>
    <w:rPr>
      <w:rFonts w:ascii="Times New Roman" w:hAnsi="Times New Roman" w:eastAsia="楷体_GB2312" w:cs="Times New Roman"/>
      <w:sz w:val="30"/>
      <w:szCs w:val="20"/>
    </w:rPr>
  </w:style>
  <w:style w:type="character" w:customStyle="1" w:styleId="33">
    <w:name w:val="正文文本缩进 2 Char"/>
    <w:basedOn w:val="21"/>
    <w:link w:val="11"/>
    <w:qFormat/>
    <w:uiPriority w:val="99"/>
    <w:rPr>
      <w:rFonts w:ascii="Times New Roman" w:hAnsi="Times New Roman" w:eastAsia="楷体_GB2312" w:cs="Times New Roman"/>
      <w:sz w:val="30"/>
      <w:szCs w:val="20"/>
    </w:rPr>
  </w:style>
  <w:style w:type="character" w:customStyle="1" w:styleId="34">
    <w:name w:val="页眉 Char1"/>
    <w:basedOn w:val="21"/>
    <w:link w:val="14"/>
    <w:qFormat/>
    <w:uiPriority w:val="0"/>
    <w:rPr>
      <w:rFonts w:hint="default" w:ascii="Times New Roman" w:hAnsi="Times New Roman" w:cs="Times New Roman"/>
      <w:kern w:val="2"/>
      <w:sz w:val="18"/>
      <w:szCs w:val="18"/>
    </w:rPr>
  </w:style>
  <w:style w:type="character" w:customStyle="1" w:styleId="35">
    <w:name w:val="页脚 Char1"/>
    <w:basedOn w:val="21"/>
    <w:link w:val="13"/>
    <w:qFormat/>
    <w:uiPriority w:val="0"/>
    <w:rPr>
      <w:rFonts w:hint="default" w:ascii="Times New Roman" w:hAnsi="Times New Roman" w:cs="Times New Roman"/>
      <w:kern w:val="2"/>
      <w:sz w:val="18"/>
      <w:szCs w:val="18"/>
    </w:rPr>
  </w:style>
  <w:style w:type="character" w:customStyle="1" w:styleId="36">
    <w:name w:val="标题 3 Char"/>
    <w:basedOn w:val="21"/>
    <w:link w:val="7"/>
    <w:qFormat/>
    <w:uiPriority w:val="0"/>
    <w:rPr>
      <w:rFonts w:hint="eastAsia" w:ascii="黑体" w:hAnsi="宋体" w:eastAsia="黑体" w:cs="黑体"/>
      <w:b/>
      <w:kern w:val="2"/>
      <w:sz w:val="28"/>
      <w:szCs w:val="32"/>
    </w:rPr>
  </w:style>
  <w:style w:type="character" w:customStyle="1" w:styleId="37">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8">
    <w:name w:val="font21"/>
    <w:qFormat/>
    <w:uiPriority w:val="0"/>
    <w:rPr>
      <w:rFonts w:hint="default" w:ascii="Times New Roman" w:hAnsi="Times New Roman" w:cs="Times New Roman"/>
      <w:color w:val="000000"/>
      <w:sz w:val="20"/>
      <w:szCs w:val="20"/>
      <w:u w:val="none"/>
    </w:rPr>
  </w:style>
  <w:style w:type="character" w:customStyle="1" w:styleId="39">
    <w:name w:val="批注文字 Char"/>
    <w:basedOn w:val="21"/>
    <w:link w:val="8"/>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8"/>
    <w:semiHidden/>
    <w:qFormat/>
    <w:uiPriority w:val="99"/>
    <w:rPr>
      <w:rFonts w:asciiTheme="minorHAnsi" w:hAnsiTheme="minorHAnsi" w:eastAsiaTheme="minorEastAsia" w:cstheme="minorBidi"/>
      <w:b/>
      <w:bCs/>
      <w:kern w:val="2"/>
      <w:sz w:val="21"/>
      <w:szCs w:val="22"/>
    </w:rPr>
  </w:style>
  <w:style w:type="paragraph" w:styleId="41">
    <w:name w:val="List Paragraph"/>
    <w:basedOn w:val="1"/>
    <w:qFormat/>
    <w:uiPriority w:val="99"/>
    <w:pPr>
      <w:ind w:firstLine="420" w:firstLineChars="200"/>
    </w:pPr>
  </w:style>
  <w:style w:type="character" w:customStyle="1" w:styleId="42">
    <w:name w:val="font141"/>
    <w:qFormat/>
    <w:uiPriority w:val="0"/>
    <w:rPr>
      <w:rFonts w:hint="eastAsia" w:ascii="宋体" w:hAnsi="宋体" w:eastAsia="宋体" w:cs="宋体"/>
      <w:color w:val="000000"/>
      <w:sz w:val="22"/>
      <w:szCs w:val="22"/>
      <w:u w:val="none"/>
    </w:rPr>
  </w:style>
  <w:style w:type="paragraph" w:customStyle="1" w:styleId="43">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44">
    <w:name w:val="标题 2 字符"/>
    <w:link w:val="6"/>
    <w:qFormat/>
    <w:uiPriority w:val="0"/>
    <w:rPr>
      <w:rFonts w:ascii="Arial" w:hAnsi="Arial" w:eastAsia="黑体" w:cs="Times New Roman"/>
      <w:b/>
      <w:kern w:val="0"/>
      <w:sz w:val="32"/>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8181-56A0-4FB4-865A-7EDD26EFE1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2852</Words>
  <Characters>16260</Characters>
  <Lines>135</Lines>
  <Paragraphs>38</Paragraphs>
  <TotalTime>15</TotalTime>
  <ScaleCrop>false</ScaleCrop>
  <LinksUpToDate>false</LinksUpToDate>
  <CharactersWithSpaces>19074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2017-05-23T11:14:00Z</dcterms:created>
  <dc:creator>正信伟业招标集团有限公司</dc:creator>
  <cp:lastModifiedBy>Administrator</cp:lastModifiedBy>
  <cp:lastPrinted>2020-05-27T02:35:00Z</cp:lastPrinted>
  <dcterms:modified xsi:type="dcterms:W3CDTF">2020-06-08T02:21:43Z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