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hint="eastAsia" w:ascii="宋体" w:hAnsi="宋体" w:eastAsia="宋体" w:cs="宋体"/>
          <w:b/>
          <w:bCs/>
          <w:sz w:val="21"/>
          <w:szCs w:val="21"/>
          <w:highlight w:val="none"/>
        </w:rPr>
      </w:pPr>
    </w:p>
    <w:p>
      <w:pPr>
        <w:snapToGrid w:val="0"/>
        <w:spacing w:line="360" w:lineRule="auto"/>
        <w:jc w:val="center"/>
        <w:rPr>
          <w:rFonts w:hint="eastAsia" w:ascii="宋体" w:hAnsi="宋体" w:eastAsia="宋体" w:cs="宋体"/>
          <w:b/>
          <w:bCs/>
          <w:sz w:val="21"/>
          <w:szCs w:val="21"/>
        </w:rPr>
      </w:pPr>
    </w:p>
    <w:p>
      <w:pPr>
        <w:snapToGrid w:val="0"/>
        <w:spacing w:line="360" w:lineRule="auto"/>
        <w:jc w:val="center"/>
        <w:rPr>
          <w:rFonts w:hint="eastAsia" w:ascii="黑体" w:hAnsi="黑体" w:eastAsia="黑体" w:cs="黑体"/>
          <w:b/>
          <w:bCs/>
          <w:sz w:val="44"/>
          <w:szCs w:val="44"/>
        </w:rPr>
      </w:pPr>
      <w:r>
        <w:rPr>
          <w:rFonts w:hint="eastAsia" w:ascii="黑体" w:hAnsi="黑体" w:eastAsia="黑体" w:cs="黑体"/>
          <w:b/>
          <w:bCs/>
          <w:sz w:val="44"/>
          <w:szCs w:val="44"/>
          <w:lang w:eastAsia="zh-CN"/>
        </w:rPr>
        <w:t>哈尔滨工程大学室外体育设施器材购置项目</w:t>
      </w:r>
    </w:p>
    <w:p>
      <w:pPr>
        <w:snapToGrid w:val="0"/>
        <w:spacing w:line="360" w:lineRule="auto"/>
        <w:rPr>
          <w:rFonts w:hint="eastAsia" w:ascii="宋体" w:hAnsi="宋体" w:cs="宋体"/>
          <w:b/>
          <w:bCs/>
          <w:sz w:val="44"/>
          <w:szCs w:val="44"/>
        </w:rPr>
      </w:pPr>
    </w:p>
    <w:p>
      <w:pPr>
        <w:snapToGrid w:val="0"/>
        <w:jc w:val="center"/>
        <w:rPr>
          <w:rFonts w:hint="eastAsia" w:ascii="黑体" w:hAnsi="黑体" w:eastAsia="黑体" w:cs="黑体"/>
          <w:b/>
          <w:bCs w:val="0"/>
          <w:sz w:val="84"/>
        </w:rPr>
      </w:pPr>
    </w:p>
    <w:p>
      <w:pPr>
        <w:snapToGrid w:val="0"/>
        <w:jc w:val="center"/>
        <w:rPr>
          <w:rFonts w:hint="eastAsia" w:ascii="黑体" w:hAnsi="黑体" w:eastAsia="黑体" w:cs="黑体"/>
          <w:b/>
          <w:bCs w:val="0"/>
          <w:sz w:val="84"/>
        </w:rPr>
      </w:pPr>
    </w:p>
    <w:p>
      <w:pPr>
        <w:snapToGrid w:val="0"/>
        <w:jc w:val="center"/>
        <w:rPr>
          <w:rFonts w:ascii="黑体" w:hAnsi="黑体" w:eastAsia="黑体" w:cs="黑体"/>
          <w:b/>
          <w:bCs w:val="0"/>
          <w:sz w:val="84"/>
        </w:rPr>
      </w:pPr>
      <w:r>
        <w:rPr>
          <w:rFonts w:hint="eastAsia" w:ascii="黑体" w:hAnsi="黑体" w:eastAsia="黑体" w:cs="黑体"/>
          <w:b/>
          <w:bCs w:val="0"/>
          <w:sz w:val="84"/>
        </w:rPr>
        <w:t>竞争性磋商文件</w:t>
      </w:r>
    </w:p>
    <w:p>
      <w:pPr>
        <w:snapToGrid w:val="0"/>
        <w:jc w:val="center"/>
        <w:rPr>
          <w:rFonts w:eastAsia="黑体"/>
          <w:b/>
          <w:bCs/>
        </w:rPr>
      </w:pPr>
    </w:p>
    <w:p>
      <w:pPr>
        <w:snapToGrid w:val="0"/>
        <w:rPr>
          <w:rFonts w:eastAsia="黑体"/>
          <w:b/>
          <w:bCs/>
        </w:rPr>
      </w:pPr>
    </w:p>
    <w:p>
      <w:pPr>
        <w:snapToGrid w:val="0"/>
        <w:jc w:val="center"/>
        <w:rPr>
          <w:rFonts w:eastAsia="黑体"/>
          <w:b/>
          <w:bCs/>
          <w:highlight w:val="none"/>
        </w:rPr>
      </w:pPr>
    </w:p>
    <w:p>
      <w:pPr>
        <w:snapToGrid w:val="0"/>
        <w:spacing w:line="480" w:lineRule="auto"/>
        <w:jc w:val="center"/>
        <w:rPr>
          <w:rFonts w:hint="default" w:ascii="宋体" w:hAnsi="宋体" w:cs="宋体"/>
          <w:b/>
          <w:bCs/>
          <w:sz w:val="32"/>
          <w:szCs w:val="32"/>
          <w:highlight w:val="none"/>
          <w:lang w:val="en-US" w:eastAsia="zh-CN"/>
        </w:rPr>
      </w:pPr>
      <w:r>
        <w:rPr>
          <w:rFonts w:hint="eastAsia" w:ascii="宋体" w:hAnsi="宋体" w:cs="宋体"/>
          <w:b/>
          <w:bCs/>
          <w:sz w:val="32"/>
          <w:szCs w:val="32"/>
          <w:highlight w:val="none"/>
        </w:rPr>
        <w:t>项目编号：</w:t>
      </w:r>
      <w:r>
        <w:rPr>
          <w:rFonts w:hint="eastAsia" w:ascii="宋体" w:hAnsi="宋体" w:cs="宋体"/>
          <w:b/>
          <w:bCs/>
          <w:sz w:val="32"/>
          <w:szCs w:val="32"/>
          <w:highlight w:val="none"/>
          <w:lang w:val="en-US" w:eastAsia="zh-CN"/>
        </w:rPr>
        <w:t>ZXDC2020C713</w:t>
      </w:r>
    </w:p>
    <w:p>
      <w:pPr>
        <w:snapToGrid w:val="0"/>
        <w:jc w:val="center"/>
        <w:rPr>
          <w:rFonts w:ascii="宋体" w:hAnsi="宋体" w:cs="宋体"/>
          <w:b/>
          <w:bCs/>
          <w:sz w:val="32"/>
          <w:szCs w:val="32"/>
        </w:rPr>
      </w:pPr>
    </w:p>
    <w:p>
      <w:pPr>
        <w:snapToGrid w:val="0"/>
        <w:jc w:val="center"/>
        <w:rPr>
          <w:rFonts w:ascii="宋体" w:hAnsi="宋体" w:cs="宋体"/>
          <w:b/>
          <w:bCs/>
          <w:sz w:val="32"/>
          <w:szCs w:val="32"/>
        </w:rPr>
      </w:pPr>
    </w:p>
    <w:p>
      <w:pPr>
        <w:snapToGrid w:val="0"/>
        <w:jc w:val="center"/>
        <w:rPr>
          <w:rFonts w:ascii="宋体" w:hAnsi="宋体" w:cs="宋体"/>
          <w:b/>
          <w:bCs/>
          <w:sz w:val="32"/>
          <w:szCs w:val="32"/>
        </w:rPr>
      </w:pPr>
    </w:p>
    <w:p>
      <w:pPr>
        <w:snapToGrid w:val="0"/>
        <w:jc w:val="center"/>
        <w:rPr>
          <w:rFonts w:ascii="宋体" w:hAnsi="宋体" w:cs="宋体"/>
          <w:b/>
          <w:bCs/>
          <w:sz w:val="32"/>
          <w:szCs w:val="32"/>
        </w:rPr>
      </w:pPr>
    </w:p>
    <w:p>
      <w:pPr>
        <w:snapToGrid w:val="0"/>
        <w:jc w:val="center"/>
        <w:rPr>
          <w:rFonts w:ascii="宋体" w:hAnsi="宋体" w:cs="宋体"/>
          <w:b/>
          <w:bCs/>
          <w:sz w:val="32"/>
          <w:szCs w:val="32"/>
        </w:rPr>
      </w:pPr>
    </w:p>
    <w:p>
      <w:pPr>
        <w:snapToGrid w:val="0"/>
        <w:jc w:val="center"/>
        <w:rPr>
          <w:rFonts w:ascii="宋体" w:hAnsi="宋体" w:cs="宋体"/>
          <w:b/>
          <w:bCs/>
          <w:sz w:val="32"/>
          <w:szCs w:val="32"/>
        </w:rPr>
      </w:pPr>
    </w:p>
    <w:p>
      <w:pPr>
        <w:snapToGrid w:val="0"/>
        <w:jc w:val="center"/>
        <w:rPr>
          <w:rFonts w:ascii="宋体" w:hAnsi="宋体" w:cs="宋体"/>
          <w:b/>
          <w:bCs/>
          <w:sz w:val="32"/>
          <w:szCs w:val="32"/>
        </w:rPr>
      </w:pPr>
    </w:p>
    <w:p>
      <w:pPr>
        <w:snapToGrid w:val="0"/>
        <w:jc w:val="center"/>
        <w:rPr>
          <w:rFonts w:ascii="宋体" w:hAnsi="宋体" w:cs="宋体"/>
          <w:b/>
          <w:bCs/>
          <w:sz w:val="32"/>
          <w:szCs w:val="32"/>
        </w:rPr>
      </w:pPr>
    </w:p>
    <w:p>
      <w:pPr>
        <w:snapToGrid w:val="0"/>
        <w:jc w:val="center"/>
        <w:rPr>
          <w:rFonts w:ascii="宋体" w:hAnsi="宋体" w:cs="宋体"/>
          <w:b/>
          <w:bCs/>
          <w:sz w:val="32"/>
          <w:szCs w:val="32"/>
        </w:rPr>
      </w:pPr>
    </w:p>
    <w:p>
      <w:pPr>
        <w:snapToGrid w:val="0"/>
        <w:jc w:val="center"/>
        <w:rPr>
          <w:rFonts w:ascii="宋体" w:hAnsi="宋体" w:cs="宋体"/>
          <w:b/>
          <w:bCs/>
          <w:sz w:val="32"/>
          <w:szCs w:val="32"/>
        </w:rPr>
      </w:pPr>
    </w:p>
    <w:p>
      <w:pPr>
        <w:snapToGrid w:val="0"/>
        <w:spacing w:line="500" w:lineRule="exact"/>
        <w:ind w:firstLine="321" w:firstLineChars="100"/>
        <w:jc w:val="left"/>
        <w:rPr>
          <w:rFonts w:hint="eastAsia" w:ascii="黑体" w:hAnsi="黑体" w:eastAsia="黑体" w:cs="黑体"/>
          <w:b/>
          <w:bCs w:val="0"/>
          <w:sz w:val="32"/>
          <w:szCs w:val="32"/>
        </w:rPr>
      </w:pPr>
      <w:r>
        <w:rPr>
          <w:rFonts w:hint="eastAsia" w:ascii="黑体" w:hAnsi="黑体" w:eastAsia="黑体" w:cs="黑体"/>
          <w:b/>
          <w:bCs w:val="0"/>
          <w:sz w:val="32"/>
          <w:szCs w:val="32"/>
        </w:rPr>
        <w:t>采   购   人：</w:t>
      </w:r>
      <w:r>
        <w:rPr>
          <w:rFonts w:hint="eastAsia" w:ascii="黑体" w:hAnsi="黑体" w:eastAsia="黑体" w:cs="黑体"/>
          <w:b/>
          <w:bCs w:val="0"/>
          <w:w w:val="90"/>
          <w:sz w:val="32"/>
          <w:szCs w:val="32"/>
          <w:lang w:eastAsia="zh-CN"/>
        </w:rPr>
        <w:t>哈尔滨工程大学</w:t>
      </w:r>
    </w:p>
    <w:p>
      <w:pPr>
        <w:snapToGrid w:val="0"/>
        <w:spacing w:line="500" w:lineRule="exact"/>
        <w:ind w:firstLine="321" w:firstLineChars="100"/>
        <w:jc w:val="left"/>
        <w:rPr>
          <w:rFonts w:hint="eastAsia" w:ascii="黑体" w:hAnsi="黑体" w:eastAsia="黑体" w:cs="黑体"/>
          <w:b/>
          <w:bCs w:val="0"/>
          <w:sz w:val="32"/>
          <w:szCs w:val="32"/>
        </w:rPr>
      </w:pPr>
      <w:r>
        <w:rPr>
          <w:rFonts w:hint="eastAsia" w:ascii="黑体" w:hAnsi="黑体" w:eastAsia="黑体" w:cs="黑体"/>
          <w:b/>
          <w:bCs w:val="0"/>
          <w:sz w:val="32"/>
          <w:szCs w:val="32"/>
        </w:rPr>
        <w:t>采购代理机构：</w:t>
      </w:r>
      <w:r>
        <w:rPr>
          <w:rFonts w:hint="eastAsia" w:ascii="黑体" w:hAnsi="黑体" w:eastAsia="黑体" w:cs="黑体"/>
          <w:b/>
          <w:bCs w:val="0"/>
          <w:w w:val="90"/>
          <w:sz w:val="32"/>
          <w:szCs w:val="32"/>
          <w:lang w:eastAsia="zh-CN"/>
        </w:rPr>
        <w:t>正信伟业工程咨询管理有限公司</w:t>
      </w:r>
      <w:r>
        <w:rPr>
          <w:rFonts w:hint="eastAsia" w:ascii="黑体" w:hAnsi="黑体" w:eastAsia="黑体" w:cs="黑体"/>
          <w:b/>
          <w:bCs w:val="0"/>
          <w:sz w:val="32"/>
          <w:szCs w:val="32"/>
          <w:lang w:eastAsia="zh-CN"/>
        </w:rPr>
        <w:t xml:space="preserve"> </w:t>
      </w:r>
      <w:r>
        <w:rPr>
          <w:rFonts w:hint="eastAsia" w:ascii="黑体" w:hAnsi="黑体" w:eastAsia="黑体" w:cs="黑体"/>
          <w:b/>
          <w:bCs w:val="0"/>
          <w:sz w:val="32"/>
          <w:szCs w:val="32"/>
        </w:rPr>
        <w:t xml:space="preserve"> </w:t>
      </w:r>
    </w:p>
    <w:p>
      <w:pPr>
        <w:snapToGrid w:val="0"/>
        <w:spacing w:line="500" w:lineRule="exact"/>
        <w:ind w:firstLine="321" w:firstLineChars="100"/>
        <w:jc w:val="left"/>
        <w:rPr>
          <w:rFonts w:hint="eastAsia" w:ascii="黑体" w:hAnsi="黑体" w:eastAsia="黑体" w:cs="黑体"/>
          <w:b/>
          <w:bCs w:val="0"/>
          <w:w w:val="90"/>
          <w:sz w:val="32"/>
          <w:szCs w:val="32"/>
        </w:rPr>
      </w:pPr>
      <w:r>
        <w:rPr>
          <w:rFonts w:hint="eastAsia" w:ascii="黑体" w:hAnsi="黑体" w:eastAsia="黑体" w:cs="黑体"/>
          <w:b/>
          <w:bCs w:val="0"/>
          <w:sz w:val="32"/>
          <w:szCs w:val="32"/>
        </w:rPr>
        <w:t>代理机构地址：</w:t>
      </w:r>
      <w:r>
        <w:rPr>
          <w:rFonts w:hint="eastAsia" w:ascii="黑体" w:hAnsi="黑体" w:eastAsia="黑体" w:cs="黑体"/>
          <w:b/>
          <w:bCs w:val="0"/>
          <w:w w:val="90"/>
          <w:sz w:val="32"/>
          <w:szCs w:val="32"/>
        </w:rPr>
        <w:t>哈尔滨市香坊区红旗大街235号投资大厦20层</w:t>
      </w:r>
    </w:p>
    <w:p>
      <w:pPr>
        <w:tabs>
          <w:tab w:val="left" w:pos="1080"/>
        </w:tabs>
        <w:spacing w:line="500" w:lineRule="exact"/>
        <w:ind w:firstLine="321" w:firstLineChars="100"/>
        <w:jc w:val="left"/>
        <w:rPr>
          <w:rFonts w:hint="eastAsia" w:ascii="黑体" w:hAnsi="黑体" w:eastAsia="黑体" w:cs="黑体"/>
          <w:b/>
          <w:bCs w:val="0"/>
          <w:sz w:val="32"/>
          <w:szCs w:val="32"/>
        </w:rPr>
      </w:pPr>
      <w:r>
        <w:rPr>
          <w:rFonts w:hint="eastAsia" w:ascii="黑体" w:hAnsi="黑体" w:eastAsia="黑体" w:cs="黑体"/>
          <w:b/>
          <w:bCs w:val="0"/>
          <w:sz w:val="32"/>
          <w:szCs w:val="32"/>
        </w:rPr>
        <w:t>日        期：</w:t>
      </w:r>
      <w:r>
        <w:rPr>
          <w:rFonts w:hint="eastAsia" w:ascii="黑体" w:hAnsi="黑体" w:eastAsia="黑体" w:cs="黑体"/>
          <w:b/>
          <w:bCs w:val="0"/>
          <w:w w:val="90"/>
          <w:sz w:val="32"/>
          <w:szCs w:val="32"/>
          <w:lang w:eastAsia="zh-CN"/>
        </w:rPr>
        <w:t>二〇</w:t>
      </w:r>
      <w:r>
        <w:rPr>
          <w:rFonts w:hint="eastAsia" w:ascii="黑体" w:hAnsi="黑体" w:eastAsia="黑体" w:cs="黑体"/>
          <w:b/>
          <w:bCs w:val="0"/>
          <w:w w:val="90"/>
          <w:sz w:val="32"/>
          <w:szCs w:val="32"/>
          <w:lang w:val="en-US" w:eastAsia="zh-CN"/>
        </w:rPr>
        <w:t>二</w:t>
      </w:r>
      <w:r>
        <w:rPr>
          <w:rFonts w:hint="eastAsia" w:ascii="黑体" w:hAnsi="黑体" w:eastAsia="黑体" w:cs="黑体"/>
          <w:b/>
          <w:bCs w:val="0"/>
          <w:w w:val="90"/>
          <w:sz w:val="32"/>
          <w:szCs w:val="32"/>
          <w:lang w:eastAsia="zh-CN"/>
        </w:rPr>
        <w:t>〇年七月</w:t>
      </w:r>
    </w:p>
    <w:p>
      <w:pPr>
        <w:widowControl/>
        <w:spacing w:line="360" w:lineRule="auto"/>
        <w:jc w:val="center"/>
        <w:rPr>
          <w:sz w:val="32"/>
          <w:szCs w:val="32"/>
        </w:rPr>
        <w:sectPr>
          <w:headerReference r:id="rId4" w:type="first"/>
          <w:headerReference r:id="rId3" w:type="default"/>
          <w:pgSz w:w="11907" w:h="16840"/>
          <w:pgMar w:top="1246" w:right="1588" w:bottom="1246" w:left="1797" w:header="851" w:footer="964" w:gutter="0"/>
          <w:pgNumType w:fmt="decimal"/>
          <w:cols w:space="720" w:num="1"/>
          <w:titlePg/>
          <w:docGrid w:type="lines" w:linePitch="312" w:charSpace="0"/>
        </w:sectPr>
      </w:pPr>
    </w:p>
    <w:p>
      <w:pPr>
        <w:widowControl/>
        <w:jc w:val="center"/>
        <w:rPr>
          <w:rFonts w:hint="eastAsia" w:ascii="宋体" w:hAnsi="宋体" w:eastAsia="宋体" w:cs="宋体"/>
          <w:sz w:val="36"/>
          <w:szCs w:val="36"/>
          <w:highlight w:val="none"/>
        </w:rPr>
      </w:pPr>
    </w:p>
    <w:p>
      <w:pPr>
        <w:widowControl/>
        <w:jc w:val="center"/>
        <w:rPr>
          <w:rFonts w:hint="eastAsia" w:ascii="黑体" w:hAnsi="黑体" w:eastAsia="黑体" w:cs="黑体"/>
          <w:b/>
          <w:bCs w:val="0"/>
          <w:kern w:val="0"/>
          <w:sz w:val="36"/>
          <w:szCs w:val="36"/>
          <w:highlight w:val="none"/>
        </w:rPr>
      </w:pPr>
      <w:r>
        <w:rPr>
          <w:rFonts w:hint="eastAsia" w:ascii="黑体" w:hAnsi="黑体" w:eastAsia="黑体" w:cs="黑体"/>
          <w:b/>
          <w:bCs w:val="0"/>
          <w:sz w:val="36"/>
          <w:szCs w:val="36"/>
          <w:highlight w:val="none"/>
        </w:rPr>
        <w:t>磋商文件及磋商公告业主确认函件</w:t>
      </w:r>
    </w:p>
    <w:p>
      <w:pPr>
        <w:spacing w:line="360" w:lineRule="auto"/>
        <w:ind w:firstLine="424" w:firstLineChars="200"/>
        <w:jc w:val="left"/>
        <w:rPr>
          <w:rFonts w:hint="eastAsia" w:ascii="宋体" w:hAnsi="宋体" w:eastAsia="宋体" w:cs="宋体"/>
          <w:sz w:val="21"/>
          <w:szCs w:val="21"/>
          <w:highlight w:val="none"/>
        </w:rPr>
      </w:pPr>
    </w:p>
    <w:p>
      <w:pPr>
        <w:widowControl/>
        <w:snapToGrid w:val="0"/>
        <w:spacing w:line="360" w:lineRule="auto"/>
        <w:jc w:val="left"/>
        <w:rPr>
          <w:rFonts w:hint="eastAsia" w:ascii="宋体" w:hAnsi="宋体" w:eastAsia="宋体" w:cs="宋体"/>
          <w:b/>
          <w:sz w:val="24"/>
          <w:szCs w:val="24"/>
          <w:highlight w:val="none"/>
        </w:rPr>
      </w:pPr>
      <w:r>
        <w:rPr>
          <w:rFonts w:hint="eastAsia" w:ascii="宋体" w:hAnsi="宋体" w:eastAsia="宋体" w:cs="宋体"/>
          <w:b/>
          <w:sz w:val="24"/>
          <w:szCs w:val="24"/>
          <w:highlight w:val="none"/>
          <w:lang w:eastAsia="zh-CN"/>
        </w:rPr>
        <w:t>正信伟业工程咨询管理有限公司</w:t>
      </w:r>
      <w:r>
        <w:rPr>
          <w:rFonts w:hint="eastAsia" w:ascii="宋体" w:hAnsi="宋体" w:eastAsia="宋体" w:cs="宋体"/>
          <w:b/>
          <w:sz w:val="24"/>
          <w:szCs w:val="24"/>
          <w:highlight w:val="none"/>
        </w:rPr>
        <w:t>：</w:t>
      </w:r>
    </w:p>
    <w:p>
      <w:pPr>
        <w:widowControl/>
        <w:snapToGrid w:val="0"/>
        <w:spacing w:line="360" w:lineRule="auto"/>
        <w:ind w:firstLine="424" w:firstLineChars="200"/>
        <w:jc w:val="left"/>
        <w:rPr>
          <w:rFonts w:hint="eastAsia" w:ascii="宋体" w:hAnsi="宋体" w:eastAsia="宋体" w:cs="宋体"/>
          <w:color w:val="000000"/>
          <w:kern w:val="0"/>
          <w:sz w:val="21"/>
          <w:szCs w:val="21"/>
          <w:highlight w:val="none"/>
        </w:rPr>
      </w:pPr>
    </w:p>
    <w:p>
      <w:pPr>
        <w:widowControl/>
        <w:snapToGrid w:val="0"/>
        <w:spacing w:line="360" w:lineRule="auto"/>
        <w:ind w:firstLine="484" w:firstLineChars="200"/>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你单位根据哈尔滨工程大学提供的采购方案及有关技术资料编写的关于</w:t>
      </w:r>
      <w:r>
        <w:rPr>
          <w:rFonts w:hint="eastAsia" w:ascii="宋体" w:hAnsi="宋体" w:eastAsia="宋体" w:cs="宋体"/>
          <w:color w:val="000000"/>
          <w:kern w:val="0"/>
          <w:sz w:val="24"/>
          <w:szCs w:val="24"/>
          <w:highlight w:val="none"/>
          <w:lang w:eastAsia="zh-CN"/>
        </w:rPr>
        <w:t>哈尔滨工程大学室外体育设施器材购置项目</w:t>
      </w:r>
      <w:r>
        <w:rPr>
          <w:rFonts w:hint="eastAsia" w:ascii="宋体" w:hAnsi="宋体" w:eastAsia="宋体" w:cs="宋体"/>
          <w:color w:val="000000"/>
          <w:kern w:val="0"/>
          <w:sz w:val="24"/>
          <w:szCs w:val="24"/>
          <w:highlight w:val="none"/>
        </w:rPr>
        <w:t>（采购编号：</w:t>
      </w:r>
      <w:r>
        <w:rPr>
          <w:rFonts w:hint="eastAsia" w:ascii="宋体" w:hAnsi="宋体" w:eastAsia="宋体" w:cs="宋体"/>
          <w:color w:val="000000"/>
          <w:kern w:val="0"/>
          <w:sz w:val="24"/>
          <w:szCs w:val="24"/>
          <w:highlight w:val="none"/>
          <w:lang w:eastAsia="zh-CN"/>
        </w:rPr>
        <w:t>ZXDC2020C7</w:t>
      </w:r>
      <w:r>
        <w:rPr>
          <w:rFonts w:hint="eastAsia" w:ascii="宋体" w:hAnsi="宋体" w:eastAsia="宋体" w:cs="宋体"/>
          <w:color w:val="000000"/>
          <w:kern w:val="0"/>
          <w:sz w:val="24"/>
          <w:szCs w:val="24"/>
          <w:highlight w:val="none"/>
          <w:lang w:val="en-US" w:eastAsia="zh-CN"/>
        </w:rPr>
        <w:t>13</w:t>
      </w:r>
      <w:r>
        <w:rPr>
          <w:rFonts w:hint="eastAsia" w:ascii="宋体" w:hAnsi="宋体" w:eastAsia="宋体" w:cs="宋体"/>
          <w:color w:val="000000"/>
          <w:kern w:val="0"/>
          <w:sz w:val="24"/>
          <w:szCs w:val="24"/>
          <w:highlight w:val="none"/>
        </w:rPr>
        <w:t>）的磋商文件及磋商公告，经我单位有关领导审核，认为符合要求，可以对外发售。</w:t>
      </w:r>
    </w:p>
    <w:p>
      <w:pPr>
        <w:widowControl/>
        <w:snapToGrid w:val="0"/>
        <w:spacing w:line="360" w:lineRule="auto"/>
        <w:ind w:firstLine="484" w:firstLineChars="200"/>
        <w:jc w:val="left"/>
        <w:rPr>
          <w:rFonts w:hint="eastAsia" w:ascii="宋体" w:hAnsi="宋体" w:eastAsia="宋体" w:cs="宋体"/>
          <w:color w:val="000000"/>
          <w:kern w:val="0"/>
          <w:sz w:val="24"/>
          <w:szCs w:val="24"/>
          <w:highlight w:val="none"/>
        </w:rPr>
      </w:pPr>
    </w:p>
    <w:p>
      <w:pPr>
        <w:widowControl/>
        <w:snapToGrid w:val="0"/>
        <w:spacing w:line="360" w:lineRule="auto"/>
        <w:ind w:firstLine="484" w:firstLineChars="200"/>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特此确认!</w:t>
      </w:r>
    </w:p>
    <w:p>
      <w:pPr>
        <w:widowControl/>
        <w:snapToGrid w:val="0"/>
        <w:spacing w:line="360" w:lineRule="auto"/>
        <w:ind w:firstLine="424" w:firstLineChars="200"/>
        <w:jc w:val="left"/>
        <w:rPr>
          <w:rFonts w:hint="eastAsia" w:ascii="宋体" w:hAnsi="宋体" w:eastAsia="宋体" w:cs="宋体"/>
          <w:color w:val="000000"/>
          <w:kern w:val="0"/>
          <w:sz w:val="21"/>
          <w:szCs w:val="21"/>
          <w:highlight w:val="none"/>
        </w:rPr>
      </w:pPr>
    </w:p>
    <w:p>
      <w:pPr>
        <w:widowControl/>
        <w:snapToGrid w:val="0"/>
        <w:spacing w:line="360" w:lineRule="auto"/>
        <w:ind w:firstLine="424" w:firstLineChars="200"/>
        <w:jc w:val="left"/>
        <w:rPr>
          <w:rFonts w:hint="eastAsia" w:ascii="宋体" w:hAnsi="宋体" w:eastAsia="宋体" w:cs="宋体"/>
          <w:color w:val="000000"/>
          <w:kern w:val="0"/>
          <w:sz w:val="21"/>
          <w:szCs w:val="21"/>
          <w:highlight w:val="none"/>
        </w:rPr>
      </w:pPr>
    </w:p>
    <w:p>
      <w:pPr>
        <w:widowControl/>
        <w:snapToGrid w:val="0"/>
        <w:spacing w:line="360" w:lineRule="auto"/>
        <w:ind w:firstLine="424" w:firstLineChars="200"/>
        <w:jc w:val="left"/>
        <w:rPr>
          <w:rFonts w:hint="eastAsia" w:ascii="宋体" w:hAnsi="宋体" w:eastAsia="宋体" w:cs="宋体"/>
          <w:color w:val="000000"/>
          <w:kern w:val="0"/>
          <w:sz w:val="21"/>
          <w:szCs w:val="21"/>
          <w:highlight w:val="none"/>
        </w:rPr>
      </w:pPr>
    </w:p>
    <w:p>
      <w:pPr>
        <w:widowControl/>
        <w:snapToGrid w:val="0"/>
        <w:spacing w:line="360" w:lineRule="auto"/>
        <w:ind w:firstLine="424" w:firstLineChars="200"/>
        <w:jc w:val="left"/>
        <w:rPr>
          <w:rFonts w:hint="eastAsia" w:ascii="宋体" w:hAnsi="宋体" w:eastAsia="宋体" w:cs="宋体"/>
          <w:color w:val="000000"/>
          <w:kern w:val="0"/>
          <w:sz w:val="21"/>
          <w:szCs w:val="21"/>
          <w:highlight w:val="none"/>
        </w:rPr>
      </w:pPr>
    </w:p>
    <w:p>
      <w:pPr>
        <w:widowControl/>
        <w:snapToGrid w:val="0"/>
        <w:spacing w:line="360" w:lineRule="auto"/>
        <w:ind w:firstLine="424" w:firstLineChars="200"/>
        <w:jc w:val="left"/>
        <w:rPr>
          <w:rFonts w:hint="eastAsia" w:ascii="宋体" w:hAnsi="宋体" w:eastAsia="宋体" w:cs="宋体"/>
          <w:color w:val="000000"/>
          <w:kern w:val="0"/>
          <w:sz w:val="21"/>
          <w:szCs w:val="21"/>
          <w:highlight w:val="none"/>
        </w:rPr>
      </w:pPr>
    </w:p>
    <w:p>
      <w:pPr>
        <w:spacing w:line="420" w:lineRule="exact"/>
        <w:ind w:firstLine="4240" w:firstLineChars="2000"/>
        <w:jc w:val="left"/>
        <w:rPr>
          <w:rFonts w:hint="eastAsia" w:ascii="宋体" w:hAnsi="宋体" w:eastAsia="宋体" w:cs="宋体"/>
          <w:sz w:val="21"/>
          <w:szCs w:val="21"/>
          <w:highlight w:val="none"/>
        </w:rPr>
      </w:pPr>
    </w:p>
    <w:p>
      <w:pPr>
        <w:spacing w:line="420" w:lineRule="exact"/>
        <w:ind w:firstLine="4240" w:firstLineChars="2000"/>
        <w:jc w:val="left"/>
        <w:rPr>
          <w:rFonts w:hint="eastAsia" w:ascii="宋体" w:hAnsi="宋体" w:eastAsia="宋体" w:cs="宋体"/>
          <w:sz w:val="21"/>
          <w:szCs w:val="21"/>
          <w:highlight w:val="none"/>
        </w:rPr>
      </w:pPr>
    </w:p>
    <w:p>
      <w:pPr>
        <w:spacing w:line="420" w:lineRule="exact"/>
        <w:ind w:firstLine="4240" w:firstLineChars="2000"/>
        <w:jc w:val="left"/>
        <w:rPr>
          <w:rFonts w:hint="eastAsia" w:ascii="宋体" w:hAnsi="宋体" w:eastAsia="宋体" w:cs="宋体"/>
          <w:b/>
          <w:sz w:val="21"/>
          <w:szCs w:val="21"/>
          <w:highlight w:val="none"/>
        </w:rPr>
      </w:pPr>
      <w:r>
        <w:rPr>
          <w:rFonts w:hint="eastAsia" w:ascii="宋体" w:hAnsi="宋体" w:eastAsia="宋体" w:cs="宋体"/>
          <w:b/>
          <w:sz w:val="21"/>
          <w:szCs w:val="21"/>
          <w:highlight w:val="none"/>
        </w:rPr>
        <w:t>单位名称：</w:t>
      </w:r>
    </w:p>
    <w:p>
      <w:pPr>
        <w:spacing w:line="420" w:lineRule="exact"/>
        <w:ind w:firstLine="4240" w:firstLineChars="2000"/>
        <w:jc w:val="left"/>
        <w:rPr>
          <w:rFonts w:hint="eastAsia" w:ascii="宋体" w:hAnsi="宋体" w:eastAsia="宋体" w:cs="宋体"/>
          <w:b/>
          <w:sz w:val="21"/>
          <w:szCs w:val="21"/>
          <w:highlight w:val="none"/>
        </w:rPr>
      </w:pPr>
    </w:p>
    <w:p>
      <w:pPr>
        <w:spacing w:line="420" w:lineRule="exact"/>
        <w:ind w:firstLine="4240" w:firstLineChars="2000"/>
        <w:jc w:val="left"/>
        <w:rPr>
          <w:rFonts w:hint="eastAsia" w:ascii="宋体" w:hAnsi="宋体" w:eastAsia="宋体" w:cs="宋体"/>
          <w:b/>
          <w:sz w:val="21"/>
          <w:szCs w:val="21"/>
          <w:highlight w:val="none"/>
        </w:rPr>
      </w:pPr>
      <w:r>
        <w:rPr>
          <w:rFonts w:hint="eastAsia" w:ascii="宋体" w:hAnsi="宋体" w:eastAsia="宋体" w:cs="宋体"/>
          <w:b/>
          <w:sz w:val="21"/>
          <w:szCs w:val="21"/>
          <w:highlight w:val="none"/>
        </w:rPr>
        <w:t>项目负责人签字：</w:t>
      </w:r>
    </w:p>
    <w:p>
      <w:pPr>
        <w:spacing w:line="420" w:lineRule="exact"/>
        <w:ind w:firstLine="424" w:firstLineChars="200"/>
        <w:jc w:val="left"/>
        <w:rPr>
          <w:rFonts w:hint="eastAsia" w:ascii="宋体" w:hAnsi="宋体" w:eastAsia="宋体" w:cs="宋体"/>
          <w:b/>
          <w:sz w:val="21"/>
          <w:szCs w:val="21"/>
          <w:highlight w:val="none"/>
        </w:rPr>
      </w:pPr>
    </w:p>
    <w:p>
      <w:pPr>
        <w:spacing w:line="420" w:lineRule="exact"/>
        <w:ind w:firstLine="4240" w:firstLineChars="2000"/>
        <w:jc w:val="left"/>
        <w:rPr>
          <w:rFonts w:hint="eastAsia" w:ascii="宋体" w:hAnsi="宋体" w:eastAsia="宋体" w:cs="宋体"/>
          <w:b/>
          <w:sz w:val="21"/>
          <w:szCs w:val="21"/>
          <w:highlight w:val="none"/>
        </w:rPr>
      </w:pPr>
      <w:r>
        <w:rPr>
          <w:rFonts w:hint="eastAsia" w:ascii="宋体" w:hAnsi="宋体" w:eastAsia="宋体" w:cs="宋体"/>
          <w:b/>
          <w:sz w:val="21"/>
          <w:szCs w:val="21"/>
          <w:highlight w:val="none"/>
        </w:rPr>
        <w:t>日期：</w:t>
      </w:r>
    </w:p>
    <w:p>
      <w:pPr>
        <w:widowControl/>
        <w:spacing w:line="360" w:lineRule="auto"/>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br w:type="page"/>
      </w:r>
    </w:p>
    <w:p>
      <w:pPr>
        <w:widowControl/>
        <w:spacing w:line="360" w:lineRule="auto"/>
        <w:jc w:val="center"/>
        <w:rPr>
          <w:rFonts w:hint="eastAsia" w:ascii="宋体" w:hAnsi="宋体" w:eastAsia="宋体" w:cs="宋体"/>
          <w:b/>
          <w:bCs/>
          <w:sz w:val="21"/>
          <w:szCs w:val="21"/>
          <w:highlight w:val="none"/>
        </w:rPr>
      </w:pPr>
    </w:p>
    <w:p>
      <w:pPr>
        <w:widowControl/>
        <w:spacing w:line="360" w:lineRule="auto"/>
        <w:jc w:val="center"/>
        <w:rPr>
          <w:rFonts w:hint="eastAsia" w:ascii="宋体" w:hAnsi="宋体" w:eastAsia="宋体" w:cs="宋体"/>
          <w:sz w:val="36"/>
          <w:szCs w:val="36"/>
          <w:highlight w:val="none"/>
        </w:rPr>
      </w:pPr>
      <w:r>
        <w:rPr>
          <w:rFonts w:hint="eastAsia" w:ascii="宋体" w:hAnsi="宋体" w:eastAsia="宋体" w:cs="宋体"/>
          <w:b/>
          <w:bCs/>
          <w:sz w:val="36"/>
          <w:szCs w:val="36"/>
          <w:highlight w:val="none"/>
        </w:rPr>
        <w:t>目       录</w:t>
      </w:r>
    </w:p>
    <w:p>
      <w:pPr>
        <w:pStyle w:val="15"/>
        <w:tabs>
          <w:tab w:val="right" w:leader="dot" w:pos="8708"/>
        </w:tabs>
        <w:rPr>
          <w:rFonts w:hint="eastAsia" w:ascii="宋体" w:hAnsi="宋体" w:eastAsia="宋体" w:cs="宋体"/>
          <w:sz w:val="21"/>
          <w:szCs w:val="21"/>
          <w:highlight w:val="none"/>
        </w:rPr>
      </w:pPr>
    </w:p>
    <w:p>
      <w:pPr>
        <w:pStyle w:val="15"/>
        <w:tabs>
          <w:tab w:val="right" w:leader="dot" w:pos="8708"/>
        </w:tabs>
        <w:spacing w:line="48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TOC \o "1-2" \h \u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"_Toc25325" </w:instrText>
      </w:r>
      <w:r>
        <w:rPr>
          <w:rFonts w:hint="eastAsia" w:ascii="宋体" w:hAnsi="宋体" w:eastAsia="宋体" w:cs="宋体"/>
          <w:sz w:val="24"/>
          <w:szCs w:val="24"/>
          <w:highlight w:val="none"/>
        </w:rPr>
        <w:fldChar w:fldCharType="separate"/>
      </w:r>
      <w:r>
        <w:rPr>
          <w:rFonts w:hint="eastAsia" w:ascii="宋体" w:hAnsi="宋体" w:eastAsia="宋体" w:cs="宋体"/>
          <w:kern w:val="44"/>
          <w:sz w:val="24"/>
          <w:szCs w:val="24"/>
          <w:highlight w:val="none"/>
        </w:rPr>
        <w:t>第一部分  竞争性磋商</w:t>
      </w:r>
      <w:r>
        <w:rPr>
          <w:rFonts w:hint="eastAsia" w:ascii="宋体" w:hAnsi="宋体" w:cs="宋体"/>
          <w:kern w:val="44"/>
          <w:sz w:val="24"/>
          <w:szCs w:val="24"/>
          <w:highlight w:val="none"/>
          <w:lang w:val="en-US" w:eastAsia="zh-CN"/>
        </w:rPr>
        <w:t>公告</w:t>
      </w:r>
      <w:r>
        <w:rPr>
          <w:rFonts w:hint="eastAsia" w:ascii="宋体" w:hAnsi="宋体" w:eastAsia="宋体" w:cs="宋体"/>
          <w:sz w:val="24"/>
          <w:szCs w:val="24"/>
          <w:highlight w:val="none"/>
        </w:rPr>
        <w:tab/>
      </w: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rPr>
        <w:fldChar w:fldCharType="end"/>
      </w:r>
    </w:p>
    <w:p>
      <w:pPr>
        <w:pStyle w:val="15"/>
        <w:tabs>
          <w:tab w:val="right" w:leader="dot" w:pos="8708"/>
        </w:tabs>
        <w:spacing w:line="48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"_Toc13810"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第二部分  供应商须知</w:t>
      </w:r>
      <w:r>
        <w:rPr>
          <w:rFonts w:hint="eastAsia" w:ascii="宋体" w:hAnsi="宋体" w:eastAsia="宋体" w:cs="宋体"/>
          <w:sz w:val="24"/>
          <w:szCs w:val="24"/>
          <w:highlight w:val="none"/>
        </w:rPr>
        <w:tab/>
      </w:r>
      <w:r>
        <w:rPr>
          <w:rFonts w:hint="eastAsia" w:ascii="宋体" w:hAnsi="宋体" w:cs="宋体"/>
          <w:sz w:val="24"/>
          <w:szCs w:val="24"/>
          <w:highlight w:val="none"/>
          <w:lang w:val="en-US" w:eastAsia="zh-CN"/>
        </w:rPr>
        <w:t>6</w:t>
      </w:r>
      <w:r>
        <w:rPr>
          <w:rFonts w:hint="eastAsia" w:ascii="宋体" w:hAnsi="宋体" w:eastAsia="宋体" w:cs="宋体"/>
          <w:sz w:val="24"/>
          <w:szCs w:val="24"/>
          <w:highlight w:val="none"/>
        </w:rPr>
        <w:fldChar w:fldCharType="end"/>
      </w:r>
    </w:p>
    <w:p>
      <w:pPr>
        <w:pStyle w:val="15"/>
        <w:tabs>
          <w:tab w:val="right" w:leader="dot" w:pos="8708"/>
        </w:tabs>
        <w:spacing w:line="48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"_Toc26551"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第三部分  货物清单及技术参数或服务要求</w:t>
      </w:r>
      <w:r>
        <w:rPr>
          <w:rFonts w:hint="eastAsia" w:ascii="宋体" w:hAnsi="宋体" w:eastAsia="宋体" w:cs="宋体"/>
          <w:sz w:val="24"/>
          <w:szCs w:val="24"/>
          <w:highlight w:val="none"/>
        </w:rPr>
        <w:tab/>
      </w:r>
      <w:r>
        <w:rPr>
          <w:rFonts w:hint="eastAsia" w:ascii="宋体" w:hAnsi="宋体" w:cs="宋体"/>
          <w:sz w:val="24"/>
          <w:szCs w:val="24"/>
          <w:highlight w:val="none"/>
          <w:lang w:val="en-US" w:eastAsia="zh-CN"/>
        </w:rPr>
        <w:t>1</w:t>
      </w:r>
      <w:r>
        <w:rPr>
          <w:rFonts w:hint="eastAsia" w:ascii="宋体" w:hAnsi="宋体" w:eastAsia="宋体" w:cs="宋体"/>
          <w:sz w:val="24"/>
          <w:szCs w:val="24"/>
          <w:highlight w:val="none"/>
        </w:rPr>
        <w:fldChar w:fldCharType="end"/>
      </w:r>
      <w:r>
        <w:rPr>
          <w:rFonts w:hint="eastAsia" w:ascii="宋体" w:hAnsi="宋体" w:cs="宋体"/>
          <w:sz w:val="24"/>
          <w:szCs w:val="24"/>
          <w:highlight w:val="none"/>
          <w:lang w:val="en-US" w:eastAsia="zh-CN"/>
        </w:rPr>
        <w:t>8</w:t>
      </w:r>
    </w:p>
    <w:p>
      <w:pPr>
        <w:pStyle w:val="15"/>
        <w:tabs>
          <w:tab w:val="right" w:leader="dot" w:pos="8708"/>
        </w:tabs>
        <w:spacing w:line="48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"_Toc28150"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第四部分  主要合同条款及合同格式（参照执行）</w:t>
      </w:r>
      <w:r>
        <w:rPr>
          <w:rFonts w:hint="eastAsia" w:ascii="宋体" w:hAnsi="宋体" w:eastAsia="宋体" w:cs="宋体"/>
          <w:sz w:val="24"/>
          <w:szCs w:val="24"/>
          <w:highlight w:val="none"/>
        </w:rPr>
        <w:tab/>
      </w:r>
      <w:r>
        <w:rPr>
          <w:rFonts w:hint="eastAsia" w:ascii="宋体" w:hAnsi="宋体" w:cs="宋体"/>
          <w:sz w:val="24"/>
          <w:szCs w:val="24"/>
          <w:highlight w:val="none"/>
          <w:lang w:val="en-US" w:eastAsia="zh-CN"/>
        </w:rPr>
        <w:t>2</w:t>
      </w:r>
      <w:r>
        <w:rPr>
          <w:rFonts w:hint="eastAsia" w:ascii="宋体" w:hAnsi="宋体" w:eastAsia="宋体" w:cs="宋体"/>
          <w:sz w:val="24"/>
          <w:szCs w:val="24"/>
          <w:highlight w:val="none"/>
        </w:rPr>
        <w:fldChar w:fldCharType="end"/>
      </w:r>
      <w:r>
        <w:rPr>
          <w:rFonts w:hint="eastAsia" w:ascii="宋体" w:hAnsi="宋体" w:cs="宋体"/>
          <w:sz w:val="24"/>
          <w:szCs w:val="24"/>
          <w:highlight w:val="none"/>
          <w:lang w:val="en-US" w:eastAsia="zh-CN"/>
        </w:rPr>
        <w:t>6</w:t>
      </w:r>
    </w:p>
    <w:p>
      <w:pPr>
        <w:pStyle w:val="15"/>
        <w:tabs>
          <w:tab w:val="right" w:leader="dot" w:pos="8708"/>
        </w:tabs>
        <w:spacing w:line="480" w:lineRule="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\l "_Toc13827"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第五部分  响应文件格式及附件</w:t>
      </w:r>
      <w:r>
        <w:rPr>
          <w:rFonts w:hint="eastAsia" w:ascii="宋体" w:hAnsi="宋体" w:eastAsia="宋体" w:cs="宋体"/>
          <w:sz w:val="24"/>
          <w:szCs w:val="24"/>
          <w:highlight w:val="none"/>
        </w:rPr>
        <w:tab/>
      </w: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rPr>
        <w:fldChar w:fldCharType="end"/>
      </w:r>
      <w:r>
        <w:rPr>
          <w:rFonts w:hint="eastAsia" w:ascii="宋体" w:hAnsi="宋体" w:cs="宋体"/>
          <w:sz w:val="24"/>
          <w:szCs w:val="24"/>
          <w:highlight w:val="none"/>
          <w:lang w:val="en-US" w:eastAsia="zh-CN"/>
        </w:rPr>
        <w:t>0</w:t>
      </w:r>
    </w:p>
    <w:p>
      <w:pPr>
        <w:pStyle w:val="15"/>
        <w:tabs>
          <w:tab w:val="right" w:leader="dot" w:pos="8708"/>
        </w:tabs>
        <w:spacing w:line="360" w:lineRule="auto"/>
        <w:rPr>
          <w:rFonts w:hint="eastAsia" w:ascii="宋体" w:hAnsi="宋体" w:eastAsia="宋体" w:cs="宋体"/>
          <w:sz w:val="24"/>
          <w:szCs w:val="24"/>
          <w:lang w:val="en-US" w:eastAsia="zh-CN"/>
        </w:rPr>
      </w:pPr>
      <w:r>
        <w:rPr>
          <w:rFonts w:hint="eastAsia" w:ascii="宋体" w:hAnsi="宋体" w:cs="宋体"/>
          <w:sz w:val="24"/>
          <w:szCs w:val="24"/>
        </w:rPr>
        <w:fldChar w:fldCharType="begin"/>
      </w:r>
      <w:r>
        <w:rPr>
          <w:rFonts w:hint="eastAsia" w:ascii="宋体" w:hAnsi="宋体" w:cs="宋体"/>
          <w:sz w:val="24"/>
          <w:szCs w:val="24"/>
        </w:rPr>
        <w:instrText xml:space="preserve"> HYPERLINK \l _Toc16205 </w:instrText>
      </w:r>
      <w:r>
        <w:rPr>
          <w:rFonts w:hint="eastAsia" w:ascii="宋体" w:hAnsi="宋体" w:cs="宋体"/>
          <w:sz w:val="24"/>
          <w:szCs w:val="24"/>
        </w:rPr>
        <w:fldChar w:fldCharType="separate"/>
      </w:r>
      <w:r>
        <w:rPr>
          <w:rFonts w:hint="eastAsia" w:ascii="宋体" w:hAnsi="宋体" w:cs="宋体"/>
          <w:kern w:val="44"/>
          <w:sz w:val="24"/>
          <w:szCs w:val="24"/>
        </w:rPr>
        <w:t xml:space="preserve">第六部分 </w:t>
      </w:r>
      <w:r>
        <w:rPr>
          <w:rFonts w:hint="default" w:ascii="宋体" w:hAnsi="宋体" w:cs="宋体"/>
          <w:kern w:val="44"/>
          <w:sz w:val="24"/>
          <w:szCs w:val="24"/>
          <w:lang w:val="en-US"/>
        </w:rPr>
        <w:t xml:space="preserve"> </w:t>
      </w:r>
      <w:r>
        <w:rPr>
          <w:rFonts w:hint="eastAsia" w:ascii="宋体" w:hAnsi="宋体" w:cs="宋体"/>
          <w:kern w:val="44"/>
          <w:sz w:val="24"/>
          <w:szCs w:val="24"/>
        </w:rPr>
        <w:t>竞争性磋商最后报价书</w:t>
      </w:r>
      <w:r>
        <w:rPr>
          <w:rFonts w:hint="eastAsia" w:ascii="宋体" w:hAnsi="宋体" w:cs="宋体"/>
          <w:sz w:val="24"/>
          <w:szCs w:val="24"/>
        </w:rPr>
        <w:tab/>
      </w:r>
      <w:r>
        <w:rPr>
          <w:rFonts w:hint="eastAsia" w:ascii="宋体" w:hAnsi="宋体" w:cs="宋体"/>
          <w:sz w:val="24"/>
          <w:szCs w:val="24"/>
          <w:lang w:val="en-US" w:eastAsia="zh-CN"/>
        </w:rPr>
        <w:t>4</w:t>
      </w:r>
      <w:r>
        <w:rPr>
          <w:rFonts w:hint="eastAsia" w:ascii="宋体" w:hAnsi="宋体" w:cs="宋体"/>
          <w:sz w:val="24"/>
          <w:szCs w:val="24"/>
        </w:rPr>
        <w:fldChar w:fldCharType="end"/>
      </w:r>
      <w:r>
        <w:rPr>
          <w:rFonts w:hint="eastAsia" w:ascii="宋体" w:hAnsi="宋体" w:cs="宋体"/>
          <w:sz w:val="24"/>
          <w:szCs w:val="24"/>
          <w:lang w:val="en-US" w:eastAsia="zh-CN"/>
        </w:rPr>
        <w:t>4</w:t>
      </w:r>
    </w:p>
    <w:p>
      <w:pPr>
        <w:spacing w:line="480" w:lineRule="auto"/>
        <w:rPr>
          <w:rFonts w:hint="eastAsia" w:ascii="宋体" w:hAnsi="宋体" w:eastAsia="宋体" w:cs="宋体"/>
          <w:sz w:val="21"/>
          <w:szCs w:val="21"/>
          <w:highlight w:val="none"/>
        </w:rPr>
      </w:pPr>
      <w:r>
        <w:rPr>
          <w:rFonts w:hint="eastAsia" w:ascii="宋体" w:hAnsi="宋体" w:eastAsia="宋体" w:cs="宋体"/>
          <w:sz w:val="24"/>
          <w:szCs w:val="24"/>
          <w:highlight w:val="none"/>
        </w:rPr>
        <w:fldChar w:fldCharType="end"/>
      </w:r>
    </w:p>
    <w:p>
      <w:pPr>
        <w:rPr>
          <w:rFonts w:hint="eastAsia" w:asciiTheme="minorHAnsi" w:hAnsiTheme="minorHAnsi" w:eastAsiaTheme="minorEastAsia" w:cstheme="minorBidi"/>
          <w:kern w:val="2"/>
          <w:sz w:val="21"/>
          <w:szCs w:val="22"/>
          <w:lang w:val="en-US" w:eastAsia="zh-CN" w:bidi="ar-SA"/>
        </w:rPr>
      </w:pPr>
      <w:r>
        <w:rPr>
          <w:rFonts w:hint="eastAsia" w:ascii="宋体" w:hAnsi="宋体" w:eastAsia="宋体" w:cs="宋体"/>
          <w:sz w:val="21"/>
          <w:szCs w:val="21"/>
          <w:highlight w:val="none"/>
        </w:rPr>
        <w:br w:type="page"/>
      </w:r>
    </w:p>
    <w:p>
      <w:pPr>
        <w:rPr>
          <w:rFonts w:hint="eastAsia" w:ascii="宋体" w:hAnsi="宋体" w:eastAsia="宋体" w:cs="宋体"/>
          <w:sz w:val="21"/>
          <w:szCs w:val="21"/>
          <w:highlight w:val="none"/>
        </w:rPr>
      </w:pPr>
    </w:p>
    <w:p>
      <w:pPr>
        <w:widowControl/>
        <w:numPr>
          <w:ilvl w:val="0"/>
          <w:numId w:val="0"/>
        </w:numPr>
        <w:snapToGrid w:val="0"/>
        <w:spacing w:line="360" w:lineRule="auto"/>
        <w:jc w:val="center"/>
        <w:outlineLvl w:val="0"/>
        <w:rPr>
          <w:rFonts w:hint="eastAsia" w:ascii="黑体" w:hAnsi="黑体" w:eastAsia="黑体" w:cs="黑体"/>
          <w:b/>
          <w:kern w:val="44"/>
          <w:sz w:val="36"/>
          <w:szCs w:val="36"/>
        </w:rPr>
      </w:pPr>
      <w:bookmarkStart w:id="0" w:name="_Toc21101"/>
      <w:bookmarkStart w:id="1" w:name="_Toc25325"/>
      <w:r>
        <w:rPr>
          <w:rFonts w:hint="eastAsia" w:ascii="黑体" w:hAnsi="黑体" w:eastAsia="黑体" w:cs="黑体"/>
          <w:b/>
          <w:kern w:val="44"/>
          <w:sz w:val="36"/>
          <w:szCs w:val="36"/>
        </w:rPr>
        <w:t xml:space="preserve">第一部分 </w:t>
      </w:r>
      <w:bookmarkEnd w:id="0"/>
      <w:bookmarkEnd w:id="1"/>
      <w:r>
        <w:rPr>
          <w:rFonts w:hint="eastAsia" w:ascii="黑体" w:hAnsi="黑体" w:eastAsia="黑体" w:cs="黑体"/>
          <w:b/>
          <w:kern w:val="44"/>
          <w:sz w:val="36"/>
          <w:szCs w:val="36"/>
        </w:rPr>
        <w:t xml:space="preserve"> </w:t>
      </w:r>
      <w:bookmarkStart w:id="2" w:name="_Toc28359011"/>
      <w:bookmarkStart w:id="3" w:name="_Toc35393797"/>
      <w:r>
        <w:rPr>
          <w:rFonts w:hint="eastAsia" w:ascii="黑体" w:hAnsi="黑体" w:eastAsia="黑体" w:cs="黑体"/>
          <w:b/>
          <w:kern w:val="44"/>
          <w:sz w:val="36"/>
          <w:szCs w:val="36"/>
        </w:rPr>
        <w:t>竞争性磋商公告</w:t>
      </w:r>
      <w:bookmarkEnd w:id="2"/>
      <w:bookmarkEnd w:id="3"/>
    </w:p>
    <w:p/>
    <w:p>
      <w:pPr>
        <w:widowControl/>
        <w:snapToGrid w:val="0"/>
        <w:spacing w:line="360" w:lineRule="auto"/>
        <w:ind w:firstLine="484" w:firstLineChars="200"/>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项目概况</w:t>
      </w:r>
    </w:p>
    <w:p>
      <w:pPr>
        <w:widowControl/>
        <w:snapToGrid w:val="0"/>
        <w:spacing w:line="360" w:lineRule="auto"/>
        <w:ind w:firstLine="484" w:firstLineChars="200"/>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lang w:val="en-US" w:eastAsia="zh-CN"/>
        </w:rPr>
        <w:t>哈尔滨工程大学室外体育设施器材购置项目</w:t>
      </w:r>
      <w:r>
        <w:rPr>
          <w:rFonts w:hint="eastAsia" w:ascii="宋体" w:hAnsi="宋体" w:eastAsia="宋体" w:cs="宋体"/>
          <w:color w:val="000000"/>
          <w:kern w:val="0"/>
          <w:sz w:val="24"/>
          <w:szCs w:val="24"/>
          <w:highlight w:val="none"/>
        </w:rPr>
        <w:t>采购项目的潜在供应商应在本公告第三部分中按规定方式获取采购文件，并于</w:t>
      </w:r>
      <w:r>
        <w:rPr>
          <w:rFonts w:hint="eastAsia" w:ascii="宋体" w:hAnsi="宋体" w:eastAsia="宋体" w:cs="宋体"/>
          <w:color w:val="000000"/>
          <w:kern w:val="0"/>
          <w:sz w:val="24"/>
          <w:szCs w:val="24"/>
          <w:highlight w:val="none"/>
          <w:lang w:val="en-US" w:eastAsia="zh-CN"/>
        </w:rPr>
        <w:t>2020</w:t>
      </w:r>
      <w:r>
        <w:rPr>
          <w:rFonts w:hint="eastAsia" w:ascii="宋体" w:hAnsi="宋体" w:eastAsia="宋体" w:cs="宋体"/>
          <w:color w:val="000000"/>
          <w:kern w:val="0"/>
          <w:sz w:val="24"/>
          <w:szCs w:val="24"/>
          <w:highlight w:val="none"/>
        </w:rPr>
        <w:t xml:space="preserve">年  </w:t>
      </w:r>
      <w:r>
        <w:rPr>
          <w:rFonts w:hint="eastAsia" w:ascii="宋体" w:hAnsi="宋体" w:eastAsia="宋体" w:cs="宋体"/>
          <w:color w:val="000000"/>
          <w:kern w:val="0"/>
          <w:sz w:val="24"/>
          <w:szCs w:val="24"/>
          <w:highlight w:val="none"/>
          <w:lang w:val="en-US" w:eastAsia="zh-CN"/>
        </w:rPr>
        <w:t>08</w:t>
      </w:r>
      <w:r>
        <w:rPr>
          <w:rFonts w:hint="eastAsia" w:ascii="宋体" w:hAnsi="宋体" w:eastAsia="宋体" w:cs="宋体"/>
          <w:color w:val="000000"/>
          <w:kern w:val="0"/>
          <w:sz w:val="24"/>
          <w:szCs w:val="24"/>
          <w:highlight w:val="none"/>
        </w:rPr>
        <w:t>月</w:t>
      </w:r>
      <w:r>
        <w:rPr>
          <w:rFonts w:hint="eastAsia" w:ascii="宋体" w:hAnsi="宋体" w:eastAsia="宋体" w:cs="宋体"/>
          <w:color w:val="000000"/>
          <w:kern w:val="0"/>
          <w:sz w:val="24"/>
          <w:szCs w:val="24"/>
          <w:highlight w:val="none"/>
          <w:lang w:val="en-US" w:eastAsia="zh-CN"/>
        </w:rPr>
        <w:t>24</w:t>
      </w:r>
      <w:r>
        <w:rPr>
          <w:rFonts w:hint="eastAsia" w:ascii="宋体" w:hAnsi="宋体" w:eastAsia="宋体" w:cs="宋体"/>
          <w:color w:val="000000"/>
          <w:kern w:val="0"/>
          <w:sz w:val="24"/>
          <w:szCs w:val="24"/>
          <w:highlight w:val="none"/>
        </w:rPr>
        <w:t>日</w:t>
      </w:r>
      <w:r>
        <w:rPr>
          <w:rFonts w:hint="eastAsia" w:ascii="宋体" w:hAnsi="宋体" w:eastAsia="宋体" w:cs="宋体"/>
          <w:color w:val="000000"/>
          <w:kern w:val="0"/>
          <w:sz w:val="24"/>
          <w:szCs w:val="24"/>
          <w:highlight w:val="none"/>
          <w:lang w:val="en-US" w:eastAsia="zh-CN"/>
        </w:rPr>
        <w:t>14</w:t>
      </w:r>
      <w:r>
        <w:rPr>
          <w:rFonts w:hint="eastAsia" w:ascii="宋体" w:hAnsi="宋体" w:eastAsia="宋体" w:cs="宋体"/>
          <w:color w:val="000000"/>
          <w:kern w:val="0"/>
          <w:sz w:val="24"/>
          <w:szCs w:val="24"/>
          <w:highlight w:val="none"/>
        </w:rPr>
        <w:t>点</w:t>
      </w:r>
      <w:r>
        <w:rPr>
          <w:rFonts w:hint="eastAsia" w:ascii="宋体" w:hAnsi="宋体" w:eastAsia="宋体" w:cs="宋体"/>
          <w:color w:val="000000"/>
          <w:kern w:val="0"/>
          <w:sz w:val="24"/>
          <w:szCs w:val="24"/>
          <w:highlight w:val="none"/>
          <w:lang w:val="en-US" w:eastAsia="zh-CN"/>
        </w:rPr>
        <w:t>00</w:t>
      </w:r>
      <w:r>
        <w:rPr>
          <w:rFonts w:hint="eastAsia" w:ascii="宋体" w:hAnsi="宋体" w:eastAsia="宋体" w:cs="宋体"/>
          <w:color w:val="000000"/>
          <w:kern w:val="0"/>
          <w:sz w:val="24"/>
          <w:szCs w:val="24"/>
          <w:highlight w:val="none"/>
        </w:rPr>
        <w:t>分（北京时间）前提交响应文件。</w:t>
      </w:r>
    </w:p>
    <w:p>
      <w:pPr>
        <w:widowControl/>
        <w:snapToGrid w:val="0"/>
        <w:spacing w:line="360" w:lineRule="auto"/>
        <w:ind w:firstLine="484" w:firstLineChars="200"/>
        <w:jc w:val="left"/>
        <w:rPr>
          <w:rFonts w:hint="eastAsia" w:ascii="宋体" w:hAnsi="宋体" w:eastAsia="宋体" w:cs="宋体"/>
          <w:color w:val="000000"/>
          <w:kern w:val="0"/>
          <w:sz w:val="24"/>
          <w:szCs w:val="24"/>
          <w:highlight w:val="none"/>
        </w:rPr>
      </w:pPr>
    </w:p>
    <w:p>
      <w:pPr>
        <w:widowControl/>
        <w:snapToGrid w:val="0"/>
        <w:spacing w:line="360" w:lineRule="auto"/>
        <w:ind w:firstLine="484" w:firstLineChars="200"/>
        <w:jc w:val="left"/>
        <w:rPr>
          <w:rFonts w:hint="eastAsia" w:ascii="宋体" w:hAnsi="宋体" w:eastAsia="宋体" w:cs="宋体"/>
          <w:color w:val="000000"/>
          <w:kern w:val="0"/>
          <w:sz w:val="24"/>
          <w:szCs w:val="24"/>
          <w:highlight w:val="none"/>
        </w:rPr>
      </w:pPr>
      <w:bookmarkStart w:id="4" w:name="_Toc35393798"/>
      <w:bookmarkStart w:id="5" w:name="_Toc35393629"/>
      <w:bookmarkStart w:id="6" w:name="_Toc28359012"/>
      <w:bookmarkStart w:id="7" w:name="_Toc28359089"/>
      <w:r>
        <w:rPr>
          <w:rFonts w:hint="eastAsia" w:ascii="宋体" w:hAnsi="宋体" w:eastAsia="宋体" w:cs="宋体"/>
          <w:color w:val="000000"/>
          <w:kern w:val="0"/>
          <w:sz w:val="24"/>
          <w:szCs w:val="24"/>
          <w:highlight w:val="none"/>
        </w:rPr>
        <w:t>一、项目基本情况</w:t>
      </w:r>
      <w:bookmarkEnd w:id="4"/>
      <w:bookmarkEnd w:id="5"/>
      <w:bookmarkEnd w:id="6"/>
      <w:bookmarkEnd w:id="7"/>
    </w:p>
    <w:p>
      <w:pPr>
        <w:widowControl/>
        <w:snapToGrid w:val="0"/>
        <w:spacing w:line="360" w:lineRule="auto"/>
        <w:ind w:firstLine="484" w:firstLineChars="200"/>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项目编号：</w:t>
      </w:r>
      <w:r>
        <w:rPr>
          <w:rFonts w:hint="eastAsia" w:ascii="宋体" w:hAnsi="宋体" w:eastAsia="宋体" w:cs="宋体"/>
          <w:color w:val="000000"/>
          <w:kern w:val="0"/>
          <w:sz w:val="24"/>
          <w:szCs w:val="24"/>
          <w:highlight w:val="none"/>
          <w:lang w:eastAsia="zh-CN"/>
        </w:rPr>
        <w:t>ZXDC2020C7</w:t>
      </w:r>
      <w:r>
        <w:rPr>
          <w:rFonts w:hint="eastAsia" w:ascii="宋体" w:hAnsi="宋体" w:eastAsia="宋体" w:cs="宋体"/>
          <w:color w:val="000000"/>
          <w:kern w:val="0"/>
          <w:sz w:val="24"/>
          <w:szCs w:val="24"/>
          <w:highlight w:val="none"/>
          <w:lang w:val="en-US" w:eastAsia="zh-CN"/>
        </w:rPr>
        <w:t>13</w:t>
      </w:r>
    </w:p>
    <w:p>
      <w:pPr>
        <w:widowControl/>
        <w:snapToGrid w:val="0"/>
        <w:spacing w:line="360" w:lineRule="auto"/>
        <w:ind w:firstLine="484" w:firstLineChars="200"/>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项目名称：</w:t>
      </w:r>
      <w:r>
        <w:rPr>
          <w:rFonts w:hint="eastAsia" w:ascii="宋体" w:hAnsi="宋体" w:eastAsia="宋体" w:cs="宋体"/>
          <w:color w:val="000000"/>
          <w:kern w:val="0"/>
          <w:sz w:val="24"/>
          <w:szCs w:val="24"/>
          <w:highlight w:val="none"/>
          <w:lang w:val="en-US" w:eastAsia="zh-CN"/>
        </w:rPr>
        <w:t>哈尔滨工程大学室外体育设施器材购置项目</w:t>
      </w:r>
    </w:p>
    <w:p>
      <w:pPr>
        <w:widowControl/>
        <w:snapToGrid w:val="0"/>
        <w:spacing w:line="360" w:lineRule="auto"/>
        <w:ind w:firstLine="484" w:firstLineChars="200"/>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采购方式：竞争性磋商</w:t>
      </w:r>
    </w:p>
    <w:p>
      <w:pPr>
        <w:widowControl/>
        <w:snapToGrid w:val="0"/>
        <w:spacing w:line="360" w:lineRule="auto"/>
        <w:ind w:firstLine="484" w:firstLineChars="200"/>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预算金额：</w:t>
      </w:r>
      <w:r>
        <w:rPr>
          <w:rFonts w:hint="eastAsia" w:ascii="宋体" w:hAnsi="宋体" w:eastAsia="宋体" w:cs="宋体"/>
          <w:color w:val="000000"/>
          <w:kern w:val="0"/>
          <w:sz w:val="24"/>
          <w:szCs w:val="24"/>
          <w:highlight w:val="none"/>
          <w:lang w:val="en-US" w:eastAsia="zh-CN"/>
        </w:rPr>
        <w:t>中央高校改善基本办学条件经费；</w:t>
      </w:r>
      <w:r>
        <w:rPr>
          <w:rFonts w:hint="eastAsia" w:ascii="宋体" w:hAnsi="宋体" w:eastAsia="宋体" w:cs="宋体"/>
          <w:color w:val="000000"/>
          <w:kern w:val="0"/>
          <w:sz w:val="24"/>
          <w:szCs w:val="24"/>
          <w:highlight w:val="none"/>
        </w:rPr>
        <w:t>人民</w:t>
      </w:r>
      <w:r>
        <w:rPr>
          <w:rFonts w:hint="eastAsia" w:ascii="宋体" w:hAnsi="宋体" w:eastAsia="宋体" w:cs="宋体"/>
          <w:color w:val="000000"/>
          <w:kern w:val="0"/>
          <w:sz w:val="24"/>
          <w:szCs w:val="24"/>
          <w:highlight w:val="none"/>
          <w:lang w:val="en-US" w:eastAsia="zh-CN"/>
        </w:rPr>
        <w:t>币90万元</w:t>
      </w:r>
    </w:p>
    <w:p>
      <w:pPr>
        <w:widowControl/>
        <w:snapToGrid w:val="0"/>
        <w:spacing w:line="360" w:lineRule="auto"/>
        <w:ind w:firstLine="484" w:firstLineChars="200"/>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采购需求：</w:t>
      </w:r>
      <w:r>
        <w:rPr>
          <w:rFonts w:hint="eastAsia" w:ascii="宋体" w:hAnsi="宋体" w:eastAsia="宋体" w:cs="宋体"/>
          <w:color w:val="000000"/>
          <w:kern w:val="0"/>
          <w:sz w:val="24"/>
          <w:szCs w:val="24"/>
          <w:highlight w:val="none"/>
          <w:lang w:val="zh-TW" w:eastAsia="zh-CN"/>
        </w:rPr>
        <w:t>移动式足球门、主客队替补席、角旗等（详见磋商文件）</w:t>
      </w:r>
    </w:p>
    <w:p>
      <w:pPr>
        <w:widowControl/>
        <w:snapToGrid w:val="0"/>
        <w:spacing w:line="360" w:lineRule="auto"/>
        <w:ind w:firstLine="484" w:firstLineChars="200"/>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合同履行期限：</w:t>
      </w:r>
      <w:r>
        <w:rPr>
          <w:rFonts w:hint="eastAsia" w:ascii="宋体" w:hAnsi="宋体" w:eastAsia="宋体" w:cs="宋体"/>
          <w:color w:val="000000"/>
          <w:kern w:val="0"/>
          <w:sz w:val="24"/>
          <w:szCs w:val="24"/>
          <w:highlight w:val="none"/>
          <w:lang w:val="zh-TW" w:eastAsia="zh-CN"/>
        </w:rPr>
        <w:t>合同签订后</w:t>
      </w:r>
      <w:r>
        <w:rPr>
          <w:rFonts w:hint="default" w:ascii="宋体" w:hAnsi="宋体" w:eastAsia="宋体" w:cs="宋体"/>
          <w:color w:val="000000"/>
          <w:kern w:val="0"/>
          <w:sz w:val="24"/>
          <w:szCs w:val="24"/>
          <w:highlight w:val="none"/>
          <w:lang w:val="en-US" w:eastAsia="zh-CN"/>
        </w:rPr>
        <w:t>20</w:t>
      </w:r>
      <w:r>
        <w:rPr>
          <w:rFonts w:hint="eastAsia" w:ascii="宋体" w:hAnsi="宋体" w:eastAsia="宋体" w:cs="宋体"/>
          <w:color w:val="000000"/>
          <w:kern w:val="0"/>
          <w:sz w:val="24"/>
          <w:szCs w:val="24"/>
          <w:highlight w:val="none"/>
          <w:lang w:val="en-US" w:eastAsia="zh-CN"/>
        </w:rPr>
        <w:t>天</w:t>
      </w:r>
      <w:r>
        <w:rPr>
          <w:rFonts w:hint="eastAsia" w:ascii="宋体" w:hAnsi="宋体" w:eastAsia="宋体" w:cs="宋体"/>
          <w:color w:val="000000"/>
          <w:kern w:val="0"/>
          <w:sz w:val="24"/>
          <w:szCs w:val="24"/>
          <w:highlight w:val="none"/>
          <w:lang w:val="zh-TW" w:eastAsia="zh-CN"/>
        </w:rPr>
        <w:t>内完成供货、安装、调试</w:t>
      </w:r>
    </w:p>
    <w:p>
      <w:pPr>
        <w:widowControl/>
        <w:snapToGrid w:val="0"/>
        <w:spacing w:line="360" w:lineRule="auto"/>
        <w:ind w:firstLine="484" w:firstLineChars="200"/>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本项目</w:t>
      </w:r>
      <w:r>
        <w:rPr>
          <w:rFonts w:hint="eastAsia" w:ascii="宋体" w:hAnsi="宋体" w:eastAsia="宋体" w:cs="宋体"/>
          <w:color w:val="000000"/>
          <w:kern w:val="0"/>
          <w:sz w:val="24"/>
          <w:szCs w:val="24"/>
          <w:highlight w:val="none"/>
          <w:lang w:eastAsia="zh-CN"/>
        </w:rPr>
        <w:t>不</w:t>
      </w:r>
      <w:r>
        <w:rPr>
          <w:rFonts w:hint="eastAsia" w:ascii="宋体" w:hAnsi="宋体" w:eastAsia="宋体" w:cs="宋体"/>
          <w:color w:val="000000"/>
          <w:kern w:val="0"/>
          <w:sz w:val="24"/>
          <w:szCs w:val="24"/>
          <w:highlight w:val="none"/>
        </w:rPr>
        <w:t>接受联合体。</w:t>
      </w:r>
    </w:p>
    <w:p>
      <w:pPr>
        <w:widowControl/>
        <w:snapToGrid w:val="0"/>
        <w:spacing w:line="360" w:lineRule="auto"/>
        <w:ind w:firstLine="484" w:firstLineChars="200"/>
        <w:jc w:val="left"/>
        <w:rPr>
          <w:rFonts w:hint="eastAsia" w:ascii="宋体" w:hAnsi="宋体" w:eastAsia="宋体" w:cs="宋体"/>
          <w:color w:val="000000"/>
          <w:kern w:val="0"/>
          <w:sz w:val="24"/>
          <w:szCs w:val="24"/>
          <w:highlight w:val="none"/>
        </w:rPr>
      </w:pPr>
      <w:bookmarkStart w:id="8" w:name="_Toc35393799"/>
      <w:bookmarkStart w:id="9" w:name="_Toc28359013"/>
      <w:bookmarkStart w:id="10" w:name="_Toc35393630"/>
      <w:bookmarkStart w:id="11" w:name="_Toc28359090"/>
      <w:r>
        <w:rPr>
          <w:rFonts w:hint="eastAsia" w:ascii="宋体" w:hAnsi="宋体" w:eastAsia="宋体" w:cs="宋体"/>
          <w:color w:val="000000"/>
          <w:kern w:val="0"/>
          <w:sz w:val="24"/>
          <w:szCs w:val="24"/>
          <w:highlight w:val="none"/>
        </w:rPr>
        <w:t>二、申请人的资格要求：</w:t>
      </w:r>
      <w:bookmarkEnd w:id="8"/>
      <w:bookmarkEnd w:id="9"/>
      <w:bookmarkEnd w:id="10"/>
      <w:bookmarkEnd w:id="11"/>
    </w:p>
    <w:p>
      <w:pPr>
        <w:widowControl/>
        <w:snapToGrid w:val="0"/>
        <w:spacing w:line="360" w:lineRule="auto"/>
        <w:ind w:firstLine="484" w:firstLineChars="200"/>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1.满足《中华人民共和国政府采购法》第二十二条规定；</w:t>
      </w:r>
    </w:p>
    <w:p>
      <w:pPr>
        <w:widowControl/>
        <w:snapToGrid w:val="0"/>
        <w:spacing w:line="360" w:lineRule="auto"/>
        <w:ind w:firstLine="484" w:firstLineChars="200"/>
        <w:jc w:val="left"/>
        <w:rPr>
          <w:rFonts w:hint="eastAsia" w:ascii="宋体" w:hAnsi="宋体" w:eastAsia="宋体" w:cs="宋体"/>
          <w:color w:val="000000"/>
          <w:kern w:val="0"/>
          <w:sz w:val="24"/>
          <w:szCs w:val="24"/>
          <w:highlight w:val="none"/>
          <w:lang w:eastAsia="zh-CN"/>
        </w:rPr>
      </w:pPr>
      <w:bookmarkStart w:id="12" w:name="_Toc28359091"/>
      <w:bookmarkStart w:id="13" w:name="_Toc28359014"/>
      <w:r>
        <w:rPr>
          <w:rFonts w:hint="eastAsia" w:ascii="宋体" w:hAnsi="宋体" w:eastAsia="宋体" w:cs="宋体"/>
          <w:color w:val="000000"/>
          <w:kern w:val="0"/>
          <w:sz w:val="24"/>
          <w:szCs w:val="24"/>
          <w:highlight w:val="none"/>
        </w:rPr>
        <w:t>2.落实政府采购政策需满足的资格要求：</w:t>
      </w:r>
      <w:r>
        <w:rPr>
          <w:rFonts w:hint="eastAsia" w:ascii="宋体" w:hAnsi="宋体" w:eastAsia="宋体" w:cs="宋体"/>
          <w:color w:val="000000"/>
          <w:kern w:val="0"/>
          <w:sz w:val="24"/>
          <w:szCs w:val="24"/>
          <w:highlight w:val="none"/>
          <w:lang w:eastAsia="zh-CN"/>
        </w:rPr>
        <w:t>无</w:t>
      </w:r>
    </w:p>
    <w:p>
      <w:pPr>
        <w:widowControl/>
        <w:snapToGrid w:val="0"/>
        <w:spacing w:line="360" w:lineRule="auto"/>
        <w:ind w:firstLine="484" w:firstLineChars="200"/>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3.本项目的特定资格要求：</w:t>
      </w:r>
    </w:p>
    <w:p>
      <w:pPr>
        <w:widowControl/>
        <w:snapToGrid w:val="0"/>
        <w:spacing w:line="360" w:lineRule="auto"/>
        <w:ind w:firstLine="484" w:firstLineChars="200"/>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lang w:val="en-US" w:eastAsia="zh-CN"/>
        </w:rPr>
        <w:t>3.1</w:t>
      </w:r>
      <w:r>
        <w:rPr>
          <w:rFonts w:hint="eastAsia" w:ascii="宋体" w:hAnsi="宋体" w:eastAsia="宋体" w:cs="宋体"/>
          <w:color w:val="000000"/>
          <w:kern w:val="0"/>
          <w:sz w:val="24"/>
          <w:szCs w:val="24"/>
          <w:highlight w:val="none"/>
        </w:rPr>
        <w:t>拟参加本项目磋商的潜在供应商应具备所投报货物的生产或经销能力；</w:t>
      </w:r>
    </w:p>
    <w:p>
      <w:pPr>
        <w:widowControl/>
        <w:snapToGrid w:val="0"/>
        <w:spacing w:line="360" w:lineRule="auto"/>
        <w:ind w:firstLine="484" w:firstLineChars="200"/>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lang w:val="en-US" w:eastAsia="zh-CN"/>
        </w:rPr>
        <w:t>3.2</w:t>
      </w:r>
      <w:r>
        <w:rPr>
          <w:rFonts w:hint="eastAsia" w:ascii="宋体" w:hAnsi="宋体" w:eastAsia="宋体" w:cs="宋体"/>
          <w:color w:val="000000"/>
          <w:kern w:val="0"/>
          <w:sz w:val="24"/>
          <w:szCs w:val="24"/>
          <w:highlight w:val="none"/>
        </w:rPr>
        <w:t>供应商参加政府采购活动近三年内没有重大违法记录，对列入失信被执行人、重大税收违法案件当事人名单、以及政府采购严重违法失信行为记录名单中被禁止参加1至3年政府采购活动的供应商（处罚期限尚未届满的），不得参与政府采购活动。供应商信用记录核查路径：</w:t>
      </w:r>
    </w:p>
    <w:p>
      <w:pPr>
        <w:widowControl/>
        <w:snapToGrid w:val="0"/>
        <w:spacing w:line="360" w:lineRule="auto"/>
        <w:ind w:firstLine="484" w:firstLineChars="200"/>
        <w:jc w:val="left"/>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1）“信用中国”网站（www.creditchina.gov.cn）；</w:t>
      </w:r>
    </w:p>
    <w:p>
      <w:pPr>
        <w:widowControl/>
        <w:snapToGrid w:val="0"/>
        <w:spacing w:line="360" w:lineRule="auto"/>
        <w:ind w:firstLine="484" w:firstLineChars="200"/>
        <w:jc w:val="left"/>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2）“中国政府采购网”（www.ccgp.gov.cn/cr/list）；</w:t>
      </w:r>
    </w:p>
    <w:p>
      <w:pPr>
        <w:widowControl/>
        <w:snapToGrid w:val="0"/>
        <w:spacing w:line="360" w:lineRule="auto"/>
        <w:ind w:firstLine="484" w:firstLineChars="200"/>
        <w:jc w:val="left"/>
        <w:rPr>
          <w:rFonts w:hint="eastAsia" w:ascii="宋体" w:hAnsi="宋体" w:eastAsia="宋体" w:cs="宋体"/>
          <w:color w:val="000000"/>
          <w:kern w:val="0"/>
          <w:sz w:val="24"/>
          <w:szCs w:val="24"/>
          <w:highlight w:val="none"/>
          <w:lang w:val="en-US" w:eastAsia="zh-CN"/>
        </w:rPr>
      </w:pPr>
      <w:bookmarkStart w:id="14" w:name="_Toc3051"/>
      <w:bookmarkStart w:id="15" w:name="_Toc30127"/>
      <w:bookmarkStart w:id="16" w:name="_Toc30668"/>
      <w:r>
        <w:rPr>
          <w:rFonts w:hint="eastAsia" w:ascii="宋体" w:hAnsi="宋体" w:eastAsia="宋体" w:cs="宋体"/>
          <w:color w:val="000000"/>
          <w:kern w:val="0"/>
          <w:sz w:val="24"/>
          <w:szCs w:val="24"/>
          <w:highlight w:val="none"/>
          <w:lang w:val="en-US" w:eastAsia="zh-CN"/>
        </w:rPr>
        <w:t>3）“国家企业信用信息公示系统”（http://www.gsxt.gov.cn/index.html）</w:t>
      </w:r>
    </w:p>
    <w:p>
      <w:pPr>
        <w:widowControl/>
        <w:snapToGrid w:val="0"/>
        <w:spacing w:line="360" w:lineRule="auto"/>
        <w:ind w:firstLine="484" w:firstLineChars="200"/>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lang w:val="en-US" w:eastAsia="zh-CN"/>
        </w:rPr>
        <w:t>注：供应商应在响应文中提供‘没有重</w:t>
      </w:r>
      <w:r>
        <w:rPr>
          <w:rFonts w:hint="eastAsia" w:ascii="宋体" w:hAnsi="宋体" w:eastAsia="宋体" w:cs="宋体"/>
          <w:color w:val="000000"/>
          <w:kern w:val="0"/>
          <w:sz w:val="24"/>
          <w:szCs w:val="24"/>
          <w:highlight w:val="none"/>
          <w:lang w:eastAsia="zh-CN"/>
        </w:rPr>
        <w:t>大违法记录的声明’</w:t>
      </w:r>
      <w:r>
        <w:rPr>
          <w:rFonts w:hint="eastAsia" w:ascii="宋体" w:hAnsi="宋体" w:eastAsia="宋体" w:cs="宋体"/>
          <w:color w:val="000000"/>
          <w:kern w:val="0"/>
          <w:sz w:val="24"/>
          <w:szCs w:val="24"/>
          <w:highlight w:val="none"/>
          <w:lang w:val="en-US" w:eastAsia="zh-CN"/>
        </w:rPr>
        <w:t>；</w:t>
      </w:r>
    </w:p>
    <w:p>
      <w:pPr>
        <w:widowControl/>
        <w:snapToGrid w:val="0"/>
        <w:spacing w:line="360" w:lineRule="auto"/>
        <w:ind w:firstLine="484" w:firstLineChars="200"/>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lang w:val="en-US" w:eastAsia="zh-CN"/>
        </w:rPr>
        <w:t>3.3</w:t>
      </w:r>
      <w:r>
        <w:rPr>
          <w:rFonts w:hint="eastAsia" w:ascii="宋体" w:hAnsi="宋体" w:eastAsia="宋体" w:cs="宋体"/>
          <w:color w:val="000000"/>
          <w:kern w:val="0"/>
          <w:sz w:val="24"/>
          <w:szCs w:val="24"/>
          <w:highlight w:val="none"/>
        </w:rPr>
        <w:t>参加磋商的供应商代表必须是法定代表人或法定代表人授权代表；</w:t>
      </w:r>
    </w:p>
    <w:bookmarkEnd w:id="14"/>
    <w:bookmarkEnd w:id="15"/>
    <w:bookmarkEnd w:id="16"/>
    <w:p>
      <w:pPr>
        <w:widowControl/>
        <w:snapToGrid w:val="0"/>
        <w:spacing w:line="360" w:lineRule="auto"/>
        <w:ind w:firstLine="484" w:firstLineChars="200"/>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lang w:val="en-US" w:eastAsia="zh-CN"/>
        </w:rPr>
        <w:t>3.4</w:t>
      </w:r>
      <w:r>
        <w:rPr>
          <w:rFonts w:hint="eastAsia" w:ascii="宋体" w:hAnsi="宋体" w:eastAsia="宋体" w:cs="宋体"/>
          <w:color w:val="000000"/>
          <w:kern w:val="0"/>
          <w:sz w:val="24"/>
          <w:szCs w:val="24"/>
          <w:highlight w:val="none"/>
        </w:rPr>
        <w:t>本项目不接受联合体磋商</w:t>
      </w:r>
    </w:p>
    <w:p>
      <w:pPr>
        <w:widowControl/>
        <w:snapToGrid w:val="0"/>
        <w:spacing w:line="360" w:lineRule="auto"/>
        <w:ind w:firstLine="484" w:firstLineChars="200"/>
        <w:jc w:val="left"/>
        <w:rPr>
          <w:rFonts w:hint="eastAsia" w:ascii="宋体" w:hAnsi="宋体" w:eastAsia="宋体" w:cs="宋体"/>
          <w:color w:val="000000"/>
          <w:kern w:val="0"/>
          <w:sz w:val="24"/>
          <w:szCs w:val="24"/>
          <w:highlight w:val="none"/>
        </w:rPr>
      </w:pPr>
      <w:bookmarkStart w:id="17" w:name="_Toc35393800"/>
      <w:bookmarkStart w:id="18" w:name="_Toc35393631"/>
      <w:r>
        <w:rPr>
          <w:rFonts w:hint="eastAsia" w:ascii="宋体" w:hAnsi="宋体" w:eastAsia="宋体" w:cs="宋体"/>
          <w:color w:val="000000"/>
          <w:kern w:val="0"/>
          <w:sz w:val="24"/>
          <w:szCs w:val="24"/>
          <w:highlight w:val="none"/>
        </w:rPr>
        <w:t>三、获取采购文件</w:t>
      </w:r>
      <w:bookmarkEnd w:id="12"/>
      <w:bookmarkEnd w:id="13"/>
      <w:bookmarkEnd w:id="17"/>
      <w:bookmarkEnd w:id="18"/>
    </w:p>
    <w:p>
      <w:pPr>
        <w:widowControl/>
        <w:snapToGrid w:val="0"/>
        <w:spacing w:line="360" w:lineRule="auto"/>
        <w:ind w:firstLine="484" w:firstLineChars="200"/>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时间：</w:t>
      </w:r>
      <w:r>
        <w:rPr>
          <w:rFonts w:hint="eastAsia" w:ascii="宋体" w:hAnsi="宋体" w:eastAsia="宋体" w:cs="宋体"/>
          <w:color w:val="000000"/>
          <w:kern w:val="0"/>
          <w:sz w:val="24"/>
          <w:szCs w:val="24"/>
          <w:highlight w:val="none"/>
          <w:lang w:val="en-US" w:eastAsia="zh-CN"/>
        </w:rPr>
        <w:t>2020</w:t>
      </w:r>
      <w:r>
        <w:rPr>
          <w:rFonts w:hint="eastAsia" w:ascii="宋体" w:hAnsi="宋体" w:eastAsia="宋体" w:cs="宋体"/>
          <w:color w:val="000000"/>
          <w:kern w:val="0"/>
          <w:sz w:val="24"/>
          <w:szCs w:val="24"/>
          <w:highlight w:val="none"/>
        </w:rPr>
        <w:t>年</w:t>
      </w:r>
      <w:r>
        <w:rPr>
          <w:rFonts w:hint="eastAsia" w:ascii="宋体" w:hAnsi="宋体" w:eastAsia="宋体" w:cs="宋体"/>
          <w:color w:val="000000"/>
          <w:kern w:val="0"/>
          <w:sz w:val="24"/>
          <w:szCs w:val="24"/>
          <w:highlight w:val="none"/>
          <w:lang w:val="en-US" w:eastAsia="zh-CN"/>
        </w:rPr>
        <w:t>08</w:t>
      </w:r>
      <w:r>
        <w:rPr>
          <w:rFonts w:hint="eastAsia" w:ascii="宋体" w:hAnsi="宋体" w:eastAsia="宋体" w:cs="宋体"/>
          <w:color w:val="000000"/>
          <w:kern w:val="0"/>
          <w:sz w:val="24"/>
          <w:szCs w:val="24"/>
          <w:highlight w:val="none"/>
        </w:rPr>
        <w:t>月</w:t>
      </w:r>
      <w:r>
        <w:rPr>
          <w:rFonts w:hint="eastAsia" w:ascii="宋体" w:hAnsi="宋体" w:eastAsia="宋体" w:cs="宋体"/>
          <w:color w:val="000000"/>
          <w:kern w:val="0"/>
          <w:sz w:val="24"/>
          <w:szCs w:val="24"/>
          <w:highlight w:val="none"/>
          <w:lang w:val="en-US" w:eastAsia="zh-CN"/>
        </w:rPr>
        <w:t>10</w:t>
      </w:r>
      <w:r>
        <w:rPr>
          <w:rFonts w:hint="eastAsia" w:ascii="宋体" w:hAnsi="宋体" w:eastAsia="宋体" w:cs="宋体"/>
          <w:color w:val="000000"/>
          <w:kern w:val="0"/>
          <w:sz w:val="24"/>
          <w:szCs w:val="24"/>
          <w:highlight w:val="none"/>
        </w:rPr>
        <w:t>日至</w:t>
      </w:r>
      <w:r>
        <w:rPr>
          <w:rFonts w:hint="eastAsia" w:ascii="宋体" w:hAnsi="宋体" w:eastAsia="宋体" w:cs="宋体"/>
          <w:color w:val="000000"/>
          <w:kern w:val="0"/>
          <w:sz w:val="24"/>
          <w:szCs w:val="24"/>
          <w:highlight w:val="none"/>
          <w:lang w:val="en-US" w:eastAsia="zh-CN"/>
        </w:rPr>
        <w:t>2020</w:t>
      </w:r>
      <w:r>
        <w:rPr>
          <w:rFonts w:hint="eastAsia" w:ascii="宋体" w:hAnsi="宋体" w:eastAsia="宋体" w:cs="宋体"/>
          <w:color w:val="000000"/>
          <w:kern w:val="0"/>
          <w:sz w:val="24"/>
          <w:szCs w:val="24"/>
          <w:highlight w:val="none"/>
        </w:rPr>
        <w:t>年</w:t>
      </w:r>
      <w:r>
        <w:rPr>
          <w:rFonts w:hint="eastAsia" w:ascii="宋体" w:hAnsi="宋体" w:eastAsia="宋体" w:cs="宋体"/>
          <w:color w:val="000000"/>
          <w:kern w:val="0"/>
          <w:sz w:val="24"/>
          <w:szCs w:val="24"/>
          <w:highlight w:val="none"/>
          <w:lang w:val="en-US" w:eastAsia="zh-CN"/>
        </w:rPr>
        <w:t>08</w:t>
      </w:r>
      <w:r>
        <w:rPr>
          <w:rFonts w:hint="eastAsia" w:ascii="宋体" w:hAnsi="宋体" w:eastAsia="宋体" w:cs="宋体"/>
          <w:color w:val="000000"/>
          <w:kern w:val="0"/>
          <w:sz w:val="24"/>
          <w:szCs w:val="24"/>
          <w:highlight w:val="none"/>
        </w:rPr>
        <w:t>月</w:t>
      </w:r>
      <w:r>
        <w:rPr>
          <w:rFonts w:hint="eastAsia" w:ascii="宋体" w:hAnsi="宋体" w:eastAsia="宋体" w:cs="宋体"/>
          <w:color w:val="000000"/>
          <w:kern w:val="0"/>
          <w:sz w:val="24"/>
          <w:szCs w:val="24"/>
          <w:highlight w:val="none"/>
          <w:lang w:val="en-US" w:eastAsia="zh-CN"/>
        </w:rPr>
        <w:t>14</w:t>
      </w:r>
      <w:r>
        <w:rPr>
          <w:rFonts w:hint="eastAsia" w:ascii="宋体" w:hAnsi="宋体" w:eastAsia="宋体" w:cs="宋体"/>
          <w:color w:val="000000"/>
          <w:kern w:val="0"/>
          <w:sz w:val="24"/>
          <w:szCs w:val="24"/>
          <w:highlight w:val="none"/>
        </w:rPr>
        <w:t>日，每天上午</w:t>
      </w:r>
      <w:r>
        <w:rPr>
          <w:rFonts w:hint="eastAsia" w:ascii="宋体" w:hAnsi="宋体" w:eastAsia="宋体" w:cs="宋体"/>
          <w:color w:val="000000"/>
          <w:kern w:val="0"/>
          <w:sz w:val="24"/>
          <w:szCs w:val="24"/>
          <w:highlight w:val="none"/>
          <w:lang w:val="en-US" w:eastAsia="zh-CN"/>
        </w:rPr>
        <w:t>08:3</w:t>
      </w:r>
      <w:r>
        <w:rPr>
          <w:rFonts w:hint="eastAsia" w:ascii="宋体" w:hAnsi="宋体" w:eastAsia="宋体" w:cs="宋体"/>
          <w:color w:val="000000"/>
          <w:kern w:val="0"/>
          <w:sz w:val="24"/>
          <w:szCs w:val="24"/>
          <w:highlight w:val="none"/>
        </w:rPr>
        <w:t>至</w:t>
      </w:r>
      <w:r>
        <w:rPr>
          <w:rFonts w:hint="eastAsia" w:ascii="宋体" w:hAnsi="宋体" w:eastAsia="宋体" w:cs="宋体"/>
          <w:color w:val="000000"/>
          <w:kern w:val="0"/>
          <w:sz w:val="24"/>
          <w:szCs w:val="24"/>
          <w:highlight w:val="none"/>
          <w:lang w:val="en-US" w:eastAsia="zh-CN"/>
        </w:rPr>
        <w:t>11:30</w:t>
      </w:r>
      <w:r>
        <w:rPr>
          <w:rFonts w:hint="eastAsia" w:ascii="宋体" w:hAnsi="宋体" w:eastAsia="宋体" w:cs="宋体"/>
          <w:color w:val="000000"/>
          <w:kern w:val="0"/>
          <w:sz w:val="24"/>
          <w:szCs w:val="24"/>
          <w:highlight w:val="none"/>
        </w:rPr>
        <w:t>，下午</w:t>
      </w:r>
      <w:r>
        <w:rPr>
          <w:rFonts w:hint="eastAsia" w:ascii="宋体" w:hAnsi="宋体" w:eastAsia="宋体" w:cs="宋体"/>
          <w:color w:val="000000"/>
          <w:kern w:val="0"/>
          <w:sz w:val="24"/>
          <w:szCs w:val="24"/>
          <w:highlight w:val="none"/>
          <w:lang w:val="en-US" w:eastAsia="zh-CN"/>
        </w:rPr>
        <w:t>13：30</w:t>
      </w:r>
      <w:r>
        <w:rPr>
          <w:rFonts w:hint="eastAsia" w:ascii="宋体" w:hAnsi="宋体" w:eastAsia="宋体" w:cs="宋体"/>
          <w:color w:val="000000"/>
          <w:kern w:val="0"/>
          <w:sz w:val="24"/>
          <w:szCs w:val="24"/>
          <w:highlight w:val="none"/>
        </w:rPr>
        <w:t>至</w:t>
      </w:r>
      <w:r>
        <w:rPr>
          <w:rFonts w:hint="eastAsia" w:ascii="宋体" w:hAnsi="宋体" w:eastAsia="宋体" w:cs="宋体"/>
          <w:color w:val="000000"/>
          <w:kern w:val="0"/>
          <w:sz w:val="24"/>
          <w:szCs w:val="24"/>
          <w:highlight w:val="none"/>
          <w:lang w:val="en-US" w:eastAsia="zh-CN"/>
        </w:rPr>
        <w:t>16:30</w:t>
      </w:r>
      <w:r>
        <w:rPr>
          <w:rFonts w:hint="eastAsia" w:ascii="宋体" w:hAnsi="宋体" w:eastAsia="宋体" w:cs="宋体"/>
          <w:color w:val="000000"/>
          <w:kern w:val="0"/>
          <w:sz w:val="24"/>
          <w:szCs w:val="24"/>
          <w:highlight w:val="none"/>
        </w:rPr>
        <w:t>（北京时间，法定节假日除外 ）</w:t>
      </w:r>
    </w:p>
    <w:p>
      <w:pPr>
        <w:widowControl/>
        <w:snapToGrid w:val="0"/>
        <w:spacing w:line="360" w:lineRule="auto"/>
        <w:ind w:firstLine="484" w:firstLineChars="200"/>
        <w:jc w:val="left"/>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highlight w:val="none"/>
        </w:rPr>
        <w:t>地点：</w:t>
      </w:r>
      <w:r>
        <w:rPr>
          <w:rFonts w:hint="eastAsia" w:ascii="宋体" w:hAnsi="宋体" w:eastAsia="宋体" w:cs="宋体"/>
          <w:color w:val="000000"/>
          <w:kern w:val="0"/>
          <w:sz w:val="24"/>
          <w:szCs w:val="24"/>
          <w:highlight w:val="none"/>
          <w:lang w:eastAsia="zh-CN"/>
        </w:rPr>
        <w:t>线上发售</w:t>
      </w:r>
    </w:p>
    <w:p>
      <w:pPr>
        <w:widowControl/>
        <w:snapToGrid w:val="0"/>
        <w:spacing w:line="360" w:lineRule="auto"/>
        <w:ind w:firstLine="484" w:firstLineChars="200"/>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方式：本项目因受疫情影响，故采用线上发售标书凡有意参加磋商的供应商，如资格条件符合本项目“供应商的资格要求”并确定参加本次磋商活动，于2020年</w:t>
      </w:r>
      <w:r>
        <w:rPr>
          <w:rFonts w:hint="eastAsia" w:ascii="宋体" w:hAnsi="宋体" w:eastAsia="宋体" w:cs="宋体"/>
          <w:color w:val="000000"/>
          <w:kern w:val="0"/>
          <w:sz w:val="24"/>
          <w:szCs w:val="24"/>
          <w:highlight w:val="none"/>
          <w:lang w:val="en-US" w:eastAsia="zh-CN"/>
        </w:rPr>
        <w:t>08</w:t>
      </w:r>
      <w:r>
        <w:rPr>
          <w:rFonts w:hint="eastAsia" w:ascii="宋体" w:hAnsi="宋体" w:eastAsia="宋体" w:cs="宋体"/>
          <w:color w:val="000000"/>
          <w:kern w:val="0"/>
          <w:sz w:val="24"/>
          <w:szCs w:val="24"/>
          <w:highlight w:val="none"/>
        </w:rPr>
        <w:t>月</w:t>
      </w:r>
      <w:r>
        <w:rPr>
          <w:rFonts w:hint="eastAsia" w:ascii="宋体" w:hAnsi="宋体" w:eastAsia="宋体" w:cs="宋体"/>
          <w:color w:val="000000"/>
          <w:kern w:val="0"/>
          <w:sz w:val="24"/>
          <w:szCs w:val="24"/>
          <w:highlight w:val="none"/>
          <w:lang w:val="en-US" w:eastAsia="zh-CN"/>
        </w:rPr>
        <w:t>10</w:t>
      </w:r>
      <w:r>
        <w:rPr>
          <w:rFonts w:hint="eastAsia" w:ascii="宋体" w:hAnsi="宋体" w:eastAsia="宋体" w:cs="宋体"/>
          <w:color w:val="000000"/>
          <w:kern w:val="0"/>
          <w:sz w:val="24"/>
          <w:szCs w:val="24"/>
          <w:highlight w:val="none"/>
        </w:rPr>
        <w:t>日至2020年</w:t>
      </w:r>
      <w:r>
        <w:rPr>
          <w:rFonts w:hint="eastAsia" w:ascii="宋体" w:hAnsi="宋体" w:eastAsia="宋体" w:cs="宋体"/>
          <w:color w:val="000000"/>
          <w:kern w:val="0"/>
          <w:sz w:val="24"/>
          <w:szCs w:val="24"/>
          <w:highlight w:val="none"/>
          <w:lang w:val="en-US" w:eastAsia="zh-CN"/>
        </w:rPr>
        <w:t>08</w:t>
      </w:r>
      <w:r>
        <w:rPr>
          <w:rFonts w:hint="eastAsia" w:ascii="宋体" w:hAnsi="宋体" w:eastAsia="宋体" w:cs="宋体"/>
          <w:color w:val="000000"/>
          <w:kern w:val="0"/>
          <w:sz w:val="24"/>
          <w:szCs w:val="24"/>
          <w:highlight w:val="none"/>
        </w:rPr>
        <w:t>月</w:t>
      </w:r>
      <w:r>
        <w:rPr>
          <w:rFonts w:hint="eastAsia" w:ascii="宋体" w:hAnsi="宋体" w:eastAsia="宋体" w:cs="宋体"/>
          <w:color w:val="000000"/>
          <w:kern w:val="0"/>
          <w:sz w:val="24"/>
          <w:szCs w:val="24"/>
          <w:highlight w:val="none"/>
          <w:lang w:val="en-US" w:eastAsia="zh-CN"/>
        </w:rPr>
        <w:t>14</w:t>
      </w:r>
      <w:r>
        <w:rPr>
          <w:rFonts w:hint="eastAsia" w:ascii="宋体" w:hAnsi="宋体" w:eastAsia="宋体" w:cs="宋体"/>
          <w:color w:val="000000"/>
          <w:kern w:val="0"/>
          <w:sz w:val="24"/>
          <w:szCs w:val="24"/>
          <w:highlight w:val="none"/>
        </w:rPr>
        <w:t>日，每天上午08：30至11：30，下午13：30至16：30（北京时间，法定节假日除外）获取由代理机构提供电子版本磋商文件，逾期不予受理。</w:t>
      </w:r>
    </w:p>
    <w:p>
      <w:pPr>
        <w:widowControl/>
        <w:snapToGrid w:val="0"/>
        <w:spacing w:line="360" w:lineRule="auto"/>
        <w:ind w:firstLine="484" w:firstLineChars="200"/>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标书费汇款信息及账户</w:t>
      </w:r>
    </w:p>
    <w:p>
      <w:pPr>
        <w:widowControl/>
        <w:snapToGrid w:val="0"/>
        <w:spacing w:line="360" w:lineRule="auto"/>
        <w:ind w:firstLine="484" w:firstLineChars="200"/>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户名：正信伟业工程咨询管理有限公司</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开户行：上海浦东发展银行哈尔滨分行营业部</w:t>
      </w:r>
      <w:r>
        <w:rPr>
          <w:rFonts w:hint="eastAsia" w:ascii="宋体" w:hAnsi="宋体" w:eastAsia="宋体" w:cs="宋体"/>
          <w:color w:val="000000"/>
          <w:kern w:val="0"/>
          <w:sz w:val="24"/>
          <w:szCs w:val="24"/>
          <w:highlight w:val="none"/>
        </w:rPr>
        <w:br w:type="textWrapping"/>
      </w:r>
      <w:r>
        <w:rPr>
          <w:rFonts w:hint="eastAsia" w:ascii="宋体" w:hAnsi="宋体" w:eastAsia="宋体" w:cs="宋体"/>
          <w:color w:val="000000"/>
          <w:kern w:val="0"/>
          <w:sz w:val="24"/>
          <w:szCs w:val="24"/>
          <w:highlight w:val="none"/>
        </w:rPr>
        <w:t>账号：65010155100001712</w:t>
      </w:r>
    </w:p>
    <w:p>
      <w:pPr>
        <w:widowControl/>
        <w:snapToGrid w:val="0"/>
        <w:spacing w:line="360" w:lineRule="auto"/>
        <w:ind w:firstLine="484" w:firstLineChars="200"/>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递交方式：从供应商企业基本账户进行转账的形式交纳。</w:t>
      </w:r>
    </w:p>
    <w:p>
      <w:pPr>
        <w:widowControl/>
        <w:snapToGrid w:val="0"/>
        <w:spacing w:line="360" w:lineRule="auto"/>
        <w:ind w:firstLine="484" w:firstLineChars="200"/>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注：汇款时需备注哈工程</w:t>
      </w:r>
      <w:r>
        <w:rPr>
          <w:rFonts w:hint="eastAsia" w:ascii="宋体" w:hAnsi="宋体" w:eastAsia="宋体" w:cs="宋体"/>
          <w:color w:val="000000"/>
          <w:kern w:val="0"/>
          <w:sz w:val="24"/>
          <w:szCs w:val="24"/>
          <w:highlight w:val="none"/>
          <w:lang w:val="en-US" w:eastAsia="zh-CN"/>
        </w:rPr>
        <w:t>体育设施</w:t>
      </w:r>
      <w:r>
        <w:rPr>
          <w:rFonts w:hint="eastAsia" w:ascii="宋体" w:hAnsi="宋体" w:eastAsia="宋体" w:cs="宋体"/>
          <w:color w:val="000000"/>
          <w:kern w:val="0"/>
          <w:sz w:val="24"/>
          <w:szCs w:val="24"/>
          <w:highlight w:val="none"/>
        </w:rPr>
        <w:t>标书费</w:t>
      </w:r>
      <w:r>
        <w:rPr>
          <w:rFonts w:hint="eastAsia" w:ascii="宋体" w:hAnsi="宋体" w:eastAsia="宋体" w:cs="宋体"/>
          <w:color w:val="000000"/>
          <w:kern w:val="0"/>
          <w:sz w:val="24"/>
          <w:szCs w:val="24"/>
          <w:highlight w:val="none"/>
          <w:lang w:eastAsia="zh-CN"/>
        </w:rPr>
        <w:t>；</w:t>
      </w:r>
    </w:p>
    <w:p>
      <w:pPr>
        <w:widowControl/>
        <w:snapToGrid w:val="0"/>
        <w:spacing w:line="360" w:lineRule="auto"/>
        <w:ind w:firstLine="484" w:firstLineChars="200"/>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售价：500元/本</w:t>
      </w:r>
      <w:r>
        <w:rPr>
          <w:rFonts w:hint="eastAsia" w:ascii="宋体" w:hAnsi="宋体" w:eastAsia="宋体" w:cs="宋体"/>
          <w:color w:val="000000"/>
          <w:kern w:val="0"/>
          <w:sz w:val="24"/>
          <w:szCs w:val="24"/>
          <w:highlight w:val="none"/>
          <w:lang w:eastAsia="zh-CN"/>
        </w:rPr>
        <w:t>。</w:t>
      </w:r>
    </w:p>
    <w:p>
      <w:pPr>
        <w:widowControl/>
        <w:snapToGrid w:val="0"/>
        <w:spacing w:line="360" w:lineRule="auto"/>
        <w:ind w:firstLine="484" w:firstLineChars="200"/>
        <w:jc w:val="left"/>
        <w:rPr>
          <w:rFonts w:hint="eastAsia" w:ascii="宋体" w:hAnsi="宋体" w:eastAsia="宋体" w:cs="宋体"/>
          <w:color w:val="000000"/>
          <w:kern w:val="0"/>
          <w:sz w:val="24"/>
          <w:szCs w:val="24"/>
          <w:highlight w:val="none"/>
        </w:rPr>
      </w:pPr>
      <w:bookmarkStart w:id="19" w:name="_Toc35393632"/>
      <w:bookmarkStart w:id="20" w:name="_Toc35393801"/>
      <w:bookmarkStart w:id="21" w:name="_Toc28359015"/>
      <w:bookmarkStart w:id="22" w:name="_Toc28359092"/>
      <w:r>
        <w:rPr>
          <w:rFonts w:hint="eastAsia" w:ascii="宋体" w:hAnsi="宋体" w:eastAsia="宋体" w:cs="宋体"/>
          <w:color w:val="000000"/>
          <w:kern w:val="0"/>
          <w:sz w:val="24"/>
          <w:szCs w:val="24"/>
          <w:highlight w:val="none"/>
        </w:rPr>
        <w:t>四、响应文件提交</w:t>
      </w:r>
      <w:bookmarkEnd w:id="19"/>
      <w:bookmarkEnd w:id="20"/>
      <w:bookmarkEnd w:id="21"/>
      <w:bookmarkEnd w:id="22"/>
    </w:p>
    <w:p>
      <w:pPr>
        <w:widowControl/>
        <w:snapToGrid w:val="0"/>
        <w:spacing w:line="360" w:lineRule="auto"/>
        <w:ind w:firstLine="484" w:firstLineChars="200"/>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截止时间：</w:t>
      </w:r>
      <w:r>
        <w:rPr>
          <w:rFonts w:hint="eastAsia" w:ascii="宋体" w:hAnsi="宋体" w:eastAsia="宋体" w:cs="宋体"/>
          <w:color w:val="000000"/>
          <w:kern w:val="0"/>
          <w:sz w:val="24"/>
          <w:szCs w:val="24"/>
          <w:highlight w:val="none"/>
          <w:lang w:val="en-US" w:eastAsia="zh-CN"/>
        </w:rPr>
        <w:t>2020</w:t>
      </w:r>
      <w:r>
        <w:rPr>
          <w:rFonts w:hint="eastAsia" w:ascii="宋体" w:hAnsi="宋体" w:eastAsia="宋体" w:cs="宋体"/>
          <w:color w:val="000000"/>
          <w:kern w:val="0"/>
          <w:sz w:val="24"/>
          <w:szCs w:val="24"/>
          <w:highlight w:val="none"/>
        </w:rPr>
        <w:t>年</w:t>
      </w:r>
      <w:r>
        <w:rPr>
          <w:rFonts w:hint="eastAsia" w:ascii="宋体" w:hAnsi="宋体" w:eastAsia="宋体" w:cs="宋体"/>
          <w:color w:val="000000"/>
          <w:kern w:val="0"/>
          <w:sz w:val="24"/>
          <w:szCs w:val="24"/>
          <w:highlight w:val="none"/>
          <w:lang w:val="en-US" w:eastAsia="zh-CN"/>
        </w:rPr>
        <w:t>08</w:t>
      </w:r>
      <w:r>
        <w:rPr>
          <w:rFonts w:hint="eastAsia" w:ascii="宋体" w:hAnsi="宋体" w:eastAsia="宋体" w:cs="宋体"/>
          <w:color w:val="000000"/>
          <w:kern w:val="0"/>
          <w:sz w:val="24"/>
          <w:szCs w:val="24"/>
          <w:highlight w:val="none"/>
        </w:rPr>
        <w:t>月</w:t>
      </w:r>
      <w:r>
        <w:rPr>
          <w:rFonts w:hint="eastAsia" w:ascii="宋体" w:hAnsi="宋体" w:eastAsia="宋体" w:cs="宋体"/>
          <w:color w:val="000000"/>
          <w:kern w:val="0"/>
          <w:sz w:val="24"/>
          <w:szCs w:val="24"/>
          <w:highlight w:val="none"/>
          <w:lang w:val="en-US" w:eastAsia="zh-CN"/>
        </w:rPr>
        <w:t>24</w:t>
      </w:r>
      <w:r>
        <w:rPr>
          <w:rFonts w:hint="eastAsia" w:ascii="宋体" w:hAnsi="宋体" w:eastAsia="宋体" w:cs="宋体"/>
          <w:color w:val="000000"/>
          <w:kern w:val="0"/>
          <w:sz w:val="24"/>
          <w:szCs w:val="24"/>
          <w:highlight w:val="none"/>
        </w:rPr>
        <w:t>日</w:t>
      </w:r>
      <w:r>
        <w:rPr>
          <w:rFonts w:hint="eastAsia" w:ascii="宋体" w:hAnsi="宋体" w:eastAsia="宋体" w:cs="宋体"/>
          <w:color w:val="000000"/>
          <w:kern w:val="0"/>
          <w:sz w:val="24"/>
          <w:szCs w:val="24"/>
          <w:highlight w:val="none"/>
          <w:lang w:val="en-US" w:eastAsia="zh-CN"/>
        </w:rPr>
        <w:t>14</w:t>
      </w:r>
      <w:r>
        <w:rPr>
          <w:rFonts w:hint="eastAsia" w:ascii="宋体" w:hAnsi="宋体" w:eastAsia="宋体" w:cs="宋体"/>
          <w:color w:val="000000"/>
          <w:kern w:val="0"/>
          <w:sz w:val="24"/>
          <w:szCs w:val="24"/>
          <w:highlight w:val="none"/>
        </w:rPr>
        <w:t>点</w:t>
      </w:r>
      <w:r>
        <w:rPr>
          <w:rFonts w:hint="eastAsia" w:ascii="宋体" w:hAnsi="宋体" w:eastAsia="宋体" w:cs="宋体"/>
          <w:color w:val="000000"/>
          <w:kern w:val="0"/>
          <w:sz w:val="24"/>
          <w:szCs w:val="24"/>
          <w:highlight w:val="none"/>
          <w:lang w:val="en-US" w:eastAsia="zh-CN"/>
        </w:rPr>
        <w:t>00</w:t>
      </w:r>
      <w:r>
        <w:rPr>
          <w:rFonts w:hint="eastAsia" w:ascii="宋体" w:hAnsi="宋体" w:eastAsia="宋体" w:cs="宋体"/>
          <w:color w:val="000000"/>
          <w:kern w:val="0"/>
          <w:sz w:val="24"/>
          <w:szCs w:val="24"/>
          <w:highlight w:val="none"/>
        </w:rPr>
        <w:t>分（北京时间）</w:t>
      </w:r>
    </w:p>
    <w:p>
      <w:pPr>
        <w:widowControl/>
        <w:snapToGrid w:val="0"/>
        <w:spacing w:line="360" w:lineRule="auto"/>
        <w:ind w:firstLine="484" w:firstLineChars="200"/>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地点：</w:t>
      </w:r>
      <w:r>
        <w:rPr>
          <w:rFonts w:hint="eastAsia" w:ascii="宋体" w:hAnsi="宋体" w:eastAsia="宋体" w:cs="宋体"/>
          <w:color w:val="000000"/>
          <w:kern w:val="0"/>
          <w:sz w:val="24"/>
          <w:szCs w:val="24"/>
          <w:highlight w:val="none"/>
          <w:lang w:eastAsia="zh-CN"/>
        </w:rPr>
        <w:t>正信伟业工程咨询管理有限公司</w:t>
      </w:r>
      <w:r>
        <w:rPr>
          <w:rFonts w:hint="eastAsia" w:ascii="宋体" w:hAnsi="宋体" w:eastAsia="宋体" w:cs="宋体"/>
          <w:color w:val="000000"/>
          <w:kern w:val="0"/>
          <w:sz w:val="24"/>
          <w:szCs w:val="24"/>
          <w:highlight w:val="none"/>
        </w:rPr>
        <w:t>开标大厅（黑龙江省哈尔滨市香坊区红旗大街235号投资大厦17层A座）</w:t>
      </w:r>
    </w:p>
    <w:p>
      <w:pPr>
        <w:widowControl/>
        <w:snapToGrid w:val="0"/>
        <w:spacing w:line="360" w:lineRule="auto"/>
        <w:ind w:firstLine="484" w:firstLineChars="200"/>
        <w:jc w:val="left"/>
        <w:rPr>
          <w:rFonts w:hint="eastAsia" w:ascii="宋体" w:hAnsi="宋体" w:eastAsia="宋体" w:cs="宋体"/>
          <w:color w:val="000000"/>
          <w:kern w:val="0"/>
          <w:sz w:val="24"/>
          <w:szCs w:val="24"/>
          <w:highlight w:val="none"/>
        </w:rPr>
      </w:pPr>
      <w:bookmarkStart w:id="23" w:name="_Toc28359016"/>
      <w:bookmarkStart w:id="24" w:name="_Toc35393802"/>
      <w:bookmarkStart w:id="25" w:name="_Toc35393633"/>
      <w:bookmarkStart w:id="26" w:name="_Toc28359093"/>
      <w:r>
        <w:rPr>
          <w:rFonts w:hint="eastAsia" w:ascii="宋体" w:hAnsi="宋体" w:eastAsia="宋体" w:cs="宋体"/>
          <w:color w:val="000000"/>
          <w:kern w:val="0"/>
          <w:sz w:val="24"/>
          <w:szCs w:val="24"/>
          <w:highlight w:val="none"/>
        </w:rPr>
        <w:t>五、开启</w:t>
      </w:r>
      <w:bookmarkEnd w:id="23"/>
      <w:bookmarkEnd w:id="24"/>
      <w:bookmarkEnd w:id="25"/>
      <w:bookmarkEnd w:id="26"/>
    </w:p>
    <w:p>
      <w:pPr>
        <w:widowControl/>
        <w:snapToGrid w:val="0"/>
        <w:spacing w:line="360" w:lineRule="auto"/>
        <w:ind w:firstLine="484" w:firstLineChars="200"/>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时间：</w:t>
      </w:r>
      <w:r>
        <w:rPr>
          <w:rFonts w:hint="eastAsia" w:ascii="宋体" w:hAnsi="宋体" w:eastAsia="宋体" w:cs="宋体"/>
          <w:color w:val="000000"/>
          <w:kern w:val="0"/>
          <w:sz w:val="24"/>
          <w:szCs w:val="24"/>
          <w:highlight w:val="none"/>
          <w:lang w:val="en-US" w:eastAsia="zh-CN"/>
        </w:rPr>
        <w:t>2020</w:t>
      </w:r>
      <w:r>
        <w:rPr>
          <w:rFonts w:hint="eastAsia" w:ascii="宋体" w:hAnsi="宋体" w:eastAsia="宋体" w:cs="宋体"/>
          <w:color w:val="000000"/>
          <w:kern w:val="0"/>
          <w:sz w:val="24"/>
          <w:szCs w:val="24"/>
          <w:highlight w:val="none"/>
        </w:rPr>
        <w:t>年</w:t>
      </w:r>
      <w:r>
        <w:rPr>
          <w:rFonts w:hint="eastAsia" w:ascii="宋体" w:hAnsi="宋体" w:eastAsia="宋体" w:cs="宋体"/>
          <w:color w:val="000000"/>
          <w:kern w:val="0"/>
          <w:sz w:val="24"/>
          <w:szCs w:val="24"/>
          <w:highlight w:val="none"/>
          <w:lang w:val="en-US" w:eastAsia="zh-CN"/>
        </w:rPr>
        <w:t>08</w:t>
      </w:r>
      <w:r>
        <w:rPr>
          <w:rFonts w:hint="eastAsia" w:ascii="宋体" w:hAnsi="宋体" w:eastAsia="宋体" w:cs="宋体"/>
          <w:color w:val="000000"/>
          <w:kern w:val="0"/>
          <w:sz w:val="24"/>
          <w:szCs w:val="24"/>
          <w:highlight w:val="none"/>
        </w:rPr>
        <w:t>月</w:t>
      </w:r>
      <w:r>
        <w:rPr>
          <w:rFonts w:hint="eastAsia" w:ascii="宋体" w:hAnsi="宋体" w:eastAsia="宋体" w:cs="宋体"/>
          <w:color w:val="000000"/>
          <w:kern w:val="0"/>
          <w:sz w:val="24"/>
          <w:szCs w:val="24"/>
          <w:highlight w:val="none"/>
          <w:lang w:val="en-US" w:eastAsia="zh-CN"/>
        </w:rPr>
        <w:t>24</w:t>
      </w:r>
      <w:r>
        <w:rPr>
          <w:rFonts w:hint="eastAsia" w:ascii="宋体" w:hAnsi="宋体" w:eastAsia="宋体" w:cs="宋体"/>
          <w:color w:val="000000"/>
          <w:kern w:val="0"/>
          <w:sz w:val="24"/>
          <w:szCs w:val="24"/>
          <w:highlight w:val="none"/>
        </w:rPr>
        <w:t>日</w:t>
      </w:r>
      <w:r>
        <w:rPr>
          <w:rFonts w:hint="eastAsia" w:ascii="宋体" w:hAnsi="宋体" w:eastAsia="宋体" w:cs="宋体"/>
          <w:color w:val="000000"/>
          <w:kern w:val="0"/>
          <w:sz w:val="24"/>
          <w:szCs w:val="24"/>
          <w:highlight w:val="none"/>
          <w:lang w:val="en-US" w:eastAsia="zh-CN"/>
        </w:rPr>
        <w:t>14</w:t>
      </w:r>
      <w:r>
        <w:rPr>
          <w:rFonts w:hint="eastAsia" w:ascii="宋体" w:hAnsi="宋体" w:eastAsia="宋体" w:cs="宋体"/>
          <w:color w:val="000000"/>
          <w:kern w:val="0"/>
          <w:sz w:val="24"/>
          <w:szCs w:val="24"/>
          <w:highlight w:val="none"/>
        </w:rPr>
        <w:t>点</w:t>
      </w:r>
      <w:r>
        <w:rPr>
          <w:rFonts w:hint="eastAsia" w:ascii="宋体" w:hAnsi="宋体" w:eastAsia="宋体" w:cs="宋体"/>
          <w:color w:val="000000"/>
          <w:kern w:val="0"/>
          <w:sz w:val="24"/>
          <w:szCs w:val="24"/>
          <w:highlight w:val="none"/>
          <w:lang w:val="en-US" w:eastAsia="zh-CN"/>
        </w:rPr>
        <w:t>00</w:t>
      </w:r>
      <w:r>
        <w:rPr>
          <w:rFonts w:hint="eastAsia" w:ascii="宋体" w:hAnsi="宋体" w:eastAsia="宋体" w:cs="宋体"/>
          <w:color w:val="000000"/>
          <w:kern w:val="0"/>
          <w:sz w:val="24"/>
          <w:szCs w:val="24"/>
          <w:highlight w:val="none"/>
        </w:rPr>
        <w:t>分（北京时间）</w:t>
      </w:r>
    </w:p>
    <w:p>
      <w:pPr>
        <w:widowControl/>
        <w:snapToGrid w:val="0"/>
        <w:spacing w:line="360" w:lineRule="auto"/>
        <w:ind w:firstLine="484" w:firstLineChars="200"/>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地点：</w:t>
      </w:r>
      <w:r>
        <w:rPr>
          <w:rFonts w:hint="eastAsia" w:ascii="宋体" w:hAnsi="宋体" w:eastAsia="宋体" w:cs="宋体"/>
          <w:color w:val="000000"/>
          <w:kern w:val="0"/>
          <w:sz w:val="24"/>
          <w:szCs w:val="24"/>
          <w:highlight w:val="none"/>
          <w:lang w:eastAsia="zh-CN"/>
        </w:rPr>
        <w:t>正信伟业工程咨询管理有限公司</w:t>
      </w:r>
      <w:r>
        <w:rPr>
          <w:rFonts w:hint="eastAsia" w:ascii="宋体" w:hAnsi="宋体" w:eastAsia="宋体" w:cs="宋体"/>
          <w:color w:val="000000"/>
          <w:kern w:val="0"/>
          <w:sz w:val="24"/>
          <w:szCs w:val="24"/>
          <w:highlight w:val="none"/>
        </w:rPr>
        <w:t>开标大厅（黑龙江省哈尔滨市香坊区红旗大街235号投资大厦17层A座）</w:t>
      </w:r>
    </w:p>
    <w:p>
      <w:pPr>
        <w:widowControl/>
        <w:snapToGrid w:val="0"/>
        <w:spacing w:line="360" w:lineRule="auto"/>
        <w:ind w:firstLine="484" w:firstLineChars="200"/>
        <w:jc w:val="left"/>
        <w:rPr>
          <w:rFonts w:hint="eastAsia" w:ascii="宋体" w:hAnsi="宋体" w:eastAsia="宋体" w:cs="宋体"/>
          <w:color w:val="000000"/>
          <w:kern w:val="0"/>
          <w:sz w:val="24"/>
          <w:szCs w:val="24"/>
          <w:highlight w:val="none"/>
        </w:rPr>
      </w:pPr>
      <w:bookmarkStart w:id="27" w:name="_Toc28359094"/>
      <w:bookmarkStart w:id="28" w:name="_Toc28359017"/>
      <w:bookmarkStart w:id="29" w:name="_Toc35393803"/>
      <w:bookmarkStart w:id="30" w:name="_Toc35393634"/>
      <w:r>
        <w:rPr>
          <w:rFonts w:hint="eastAsia" w:ascii="宋体" w:hAnsi="宋体" w:eastAsia="宋体" w:cs="宋体"/>
          <w:color w:val="000000"/>
          <w:kern w:val="0"/>
          <w:sz w:val="24"/>
          <w:szCs w:val="24"/>
          <w:highlight w:val="none"/>
        </w:rPr>
        <w:t>六、公告期限</w:t>
      </w:r>
      <w:bookmarkEnd w:id="27"/>
      <w:bookmarkEnd w:id="28"/>
      <w:bookmarkEnd w:id="29"/>
      <w:bookmarkEnd w:id="30"/>
    </w:p>
    <w:p>
      <w:pPr>
        <w:widowControl/>
        <w:snapToGrid w:val="0"/>
        <w:spacing w:line="360" w:lineRule="auto"/>
        <w:ind w:firstLine="484" w:firstLineChars="200"/>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自本公告发布之日起</w:t>
      </w:r>
      <w:r>
        <w:rPr>
          <w:rFonts w:hint="eastAsia" w:ascii="宋体" w:hAnsi="宋体" w:eastAsia="宋体" w:cs="宋体"/>
          <w:color w:val="000000"/>
          <w:kern w:val="0"/>
          <w:sz w:val="24"/>
          <w:szCs w:val="24"/>
          <w:highlight w:val="none"/>
          <w:lang w:val="en-US" w:eastAsia="zh-CN"/>
        </w:rPr>
        <w:t>5</w:t>
      </w:r>
      <w:r>
        <w:rPr>
          <w:rFonts w:hint="eastAsia" w:ascii="宋体" w:hAnsi="宋体" w:eastAsia="宋体" w:cs="宋体"/>
          <w:color w:val="000000"/>
          <w:kern w:val="0"/>
          <w:sz w:val="24"/>
          <w:szCs w:val="24"/>
          <w:highlight w:val="none"/>
        </w:rPr>
        <w:t>个工作日。</w:t>
      </w:r>
    </w:p>
    <w:p>
      <w:pPr>
        <w:widowControl/>
        <w:snapToGrid w:val="0"/>
        <w:spacing w:line="360" w:lineRule="auto"/>
        <w:ind w:firstLine="484" w:firstLineChars="200"/>
        <w:jc w:val="left"/>
        <w:rPr>
          <w:rFonts w:hint="eastAsia" w:ascii="宋体" w:hAnsi="宋体" w:eastAsia="宋体" w:cs="宋体"/>
          <w:color w:val="000000"/>
          <w:kern w:val="0"/>
          <w:sz w:val="24"/>
          <w:szCs w:val="24"/>
          <w:highlight w:val="none"/>
        </w:rPr>
      </w:pPr>
      <w:bookmarkStart w:id="31" w:name="_Toc35393635"/>
      <w:bookmarkStart w:id="32" w:name="_Toc35393804"/>
      <w:r>
        <w:rPr>
          <w:rFonts w:hint="eastAsia" w:ascii="宋体" w:hAnsi="宋体" w:eastAsia="宋体" w:cs="宋体"/>
          <w:color w:val="000000"/>
          <w:kern w:val="0"/>
          <w:sz w:val="24"/>
          <w:szCs w:val="24"/>
          <w:highlight w:val="none"/>
        </w:rPr>
        <w:t>七、其他补充事宜</w:t>
      </w:r>
      <w:bookmarkEnd w:id="31"/>
      <w:bookmarkEnd w:id="32"/>
    </w:p>
    <w:p>
      <w:pPr>
        <w:widowControl/>
        <w:snapToGrid w:val="0"/>
        <w:spacing w:line="360" w:lineRule="auto"/>
        <w:ind w:firstLine="484" w:firstLineChars="200"/>
        <w:jc w:val="left"/>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1.</w:t>
      </w:r>
      <w:r>
        <w:rPr>
          <w:rFonts w:hint="eastAsia" w:ascii="宋体" w:hAnsi="宋体" w:eastAsia="宋体" w:cs="宋体"/>
          <w:color w:val="000000"/>
          <w:kern w:val="0"/>
          <w:sz w:val="24"/>
          <w:szCs w:val="24"/>
          <w:highlight w:val="none"/>
          <w:lang w:val="zh-TW" w:eastAsia="zh-CN"/>
        </w:rPr>
        <w:t>交货地点：采购人指定位置</w:t>
      </w:r>
    </w:p>
    <w:p>
      <w:pPr>
        <w:widowControl/>
        <w:snapToGrid w:val="0"/>
        <w:spacing w:line="360" w:lineRule="auto"/>
        <w:ind w:firstLine="484" w:firstLineChars="200"/>
        <w:jc w:val="left"/>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2.磋商代表须持本人身份证原件及法定代表人授权书（若法人作为磋商代表仅需身份证原件）亲自递交响应文件，否则拒收响应文件。</w:t>
      </w:r>
    </w:p>
    <w:p>
      <w:pPr>
        <w:widowControl/>
        <w:snapToGrid w:val="0"/>
        <w:spacing w:line="360" w:lineRule="auto"/>
        <w:ind w:firstLine="484" w:firstLineChars="200"/>
        <w:jc w:val="left"/>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3.在疫情结束前：</w:t>
      </w:r>
    </w:p>
    <w:p>
      <w:pPr>
        <w:widowControl/>
        <w:snapToGrid w:val="0"/>
        <w:spacing w:line="360" w:lineRule="auto"/>
        <w:ind w:firstLine="484" w:firstLineChars="200"/>
        <w:jc w:val="left"/>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1）按照国家、黑龙江省、哈尔滨市相关疫情防控要求，采购代理机构建立本项目的登记问询制度，逐一登记人员的基本信息、测量、记录体温，发现情况异常的，采购代理机构有权拒绝其参与，并向本级防疫部门报告。</w:t>
      </w:r>
    </w:p>
    <w:p>
      <w:pPr>
        <w:widowControl/>
        <w:snapToGrid w:val="0"/>
        <w:spacing w:line="360" w:lineRule="auto"/>
        <w:ind w:firstLine="484" w:firstLineChars="200"/>
        <w:jc w:val="left"/>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（2）请供应商代表提前到达采购代理机构配合相关防疫登记检查。</w:t>
      </w:r>
    </w:p>
    <w:p>
      <w:pPr>
        <w:widowControl/>
        <w:snapToGrid w:val="0"/>
        <w:spacing w:line="360" w:lineRule="auto"/>
        <w:ind w:firstLine="484" w:firstLineChars="200"/>
        <w:jc w:val="left"/>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lang w:val="en-US" w:eastAsia="zh-CN"/>
        </w:rPr>
        <w:t>（3）参加本项目磋商的供应商单位人员建议为供应商代表1人，到场人员需自备口罩等防护工具，做好个人防护。</w:t>
      </w:r>
    </w:p>
    <w:p>
      <w:pPr>
        <w:widowControl/>
        <w:snapToGrid w:val="0"/>
        <w:spacing w:line="360" w:lineRule="auto"/>
        <w:ind w:firstLine="484" w:firstLineChars="200"/>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lang w:val="en-US" w:eastAsia="zh-CN"/>
        </w:rPr>
        <w:t>（4）因疫情防控情况尚不明确，若无法正常进行磋商，则时间另行通知</w:t>
      </w:r>
      <w:r>
        <w:rPr>
          <w:rFonts w:hint="eastAsia" w:ascii="宋体" w:hAnsi="宋体" w:eastAsia="宋体" w:cs="宋体"/>
          <w:color w:val="000000"/>
          <w:kern w:val="0"/>
          <w:sz w:val="24"/>
          <w:szCs w:val="24"/>
          <w:highlight w:val="none"/>
        </w:rPr>
        <w:t>。</w:t>
      </w:r>
    </w:p>
    <w:p>
      <w:pPr>
        <w:widowControl/>
        <w:snapToGrid w:val="0"/>
        <w:spacing w:line="360" w:lineRule="auto"/>
        <w:ind w:firstLine="484" w:firstLineChars="200"/>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lang w:val="en-US" w:eastAsia="zh-CN"/>
        </w:rPr>
        <w:t>（5）请供应商自行关注国家、黑龙江省、哈尔滨市相关疫情防控要求</w:t>
      </w:r>
    </w:p>
    <w:p>
      <w:pPr>
        <w:widowControl/>
        <w:snapToGrid w:val="0"/>
        <w:spacing w:line="360" w:lineRule="auto"/>
        <w:ind w:firstLine="484" w:firstLineChars="200"/>
        <w:jc w:val="left"/>
        <w:rPr>
          <w:rFonts w:hint="eastAsia" w:ascii="宋体" w:hAnsi="宋体" w:eastAsia="宋体" w:cs="宋体"/>
          <w:color w:val="000000"/>
          <w:kern w:val="0"/>
          <w:sz w:val="24"/>
          <w:szCs w:val="24"/>
          <w:highlight w:val="none"/>
        </w:rPr>
      </w:pPr>
      <w:bookmarkStart w:id="33" w:name="_Toc28359095"/>
      <w:bookmarkStart w:id="34" w:name="_Toc35393805"/>
      <w:bookmarkStart w:id="35" w:name="_Toc35393636"/>
      <w:bookmarkStart w:id="36" w:name="_Toc28359018"/>
      <w:r>
        <w:rPr>
          <w:rFonts w:hint="eastAsia" w:ascii="宋体" w:hAnsi="宋体" w:eastAsia="宋体" w:cs="宋体"/>
          <w:color w:val="000000"/>
          <w:kern w:val="0"/>
          <w:sz w:val="24"/>
          <w:szCs w:val="24"/>
          <w:highlight w:val="none"/>
        </w:rPr>
        <w:t>八、凡对本次采购提出询问，请按以下方式联系。</w:t>
      </w:r>
      <w:bookmarkEnd w:id="33"/>
      <w:bookmarkEnd w:id="34"/>
      <w:bookmarkEnd w:id="35"/>
      <w:bookmarkEnd w:id="36"/>
    </w:p>
    <w:p>
      <w:pPr>
        <w:widowControl/>
        <w:snapToGrid w:val="0"/>
        <w:spacing w:line="360" w:lineRule="auto"/>
        <w:ind w:firstLine="484" w:firstLineChars="200"/>
        <w:jc w:val="left"/>
        <w:rPr>
          <w:rFonts w:hint="eastAsia" w:ascii="宋体" w:hAnsi="宋体" w:eastAsia="宋体" w:cs="宋体"/>
          <w:color w:val="000000"/>
          <w:kern w:val="0"/>
          <w:sz w:val="24"/>
          <w:szCs w:val="24"/>
          <w:highlight w:val="none"/>
        </w:rPr>
      </w:pPr>
      <w:bookmarkStart w:id="37" w:name="_Toc28359019"/>
      <w:bookmarkStart w:id="38" w:name="_Toc35393806"/>
      <w:bookmarkStart w:id="39" w:name="_Toc28359096"/>
      <w:bookmarkStart w:id="40" w:name="_Toc35393637"/>
      <w:r>
        <w:rPr>
          <w:rFonts w:hint="eastAsia" w:ascii="宋体" w:hAnsi="宋体" w:eastAsia="宋体" w:cs="宋体"/>
          <w:color w:val="000000"/>
          <w:kern w:val="0"/>
          <w:sz w:val="24"/>
          <w:szCs w:val="24"/>
          <w:highlight w:val="none"/>
        </w:rPr>
        <w:t>1.采购人信息</w:t>
      </w:r>
      <w:bookmarkEnd w:id="37"/>
      <w:bookmarkEnd w:id="38"/>
      <w:bookmarkEnd w:id="39"/>
      <w:bookmarkEnd w:id="40"/>
    </w:p>
    <w:p>
      <w:pPr>
        <w:widowControl/>
        <w:snapToGrid w:val="0"/>
        <w:spacing w:line="360" w:lineRule="auto"/>
        <w:ind w:firstLine="484" w:firstLineChars="200"/>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名    称：</w:t>
      </w:r>
      <w:r>
        <w:rPr>
          <w:rFonts w:hint="eastAsia" w:ascii="宋体" w:hAnsi="宋体" w:eastAsia="宋体" w:cs="宋体"/>
          <w:color w:val="000000"/>
          <w:kern w:val="0"/>
          <w:sz w:val="24"/>
          <w:szCs w:val="24"/>
          <w:highlight w:val="none"/>
          <w:lang w:val="en-US" w:eastAsia="zh-CN"/>
        </w:rPr>
        <w:t>哈尔滨工程大学　</w:t>
      </w:r>
    </w:p>
    <w:p>
      <w:pPr>
        <w:widowControl/>
        <w:snapToGrid w:val="0"/>
        <w:spacing w:line="360" w:lineRule="auto"/>
        <w:ind w:firstLine="484" w:firstLineChars="200"/>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地    址：</w:t>
      </w:r>
      <w:r>
        <w:rPr>
          <w:rFonts w:hint="eastAsia" w:ascii="宋体" w:hAnsi="宋体" w:eastAsia="宋体" w:cs="宋体"/>
          <w:color w:val="000000"/>
          <w:kern w:val="0"/>
          <w:sz w:val="24"/>
          <w:szCs w:val="24"/>
          <w:highlight w:val="none"/>
          <w:lang w:val="en-US" w:eastAsia="zh-CN"/>
        </w:rPr>
        <w:t>哈尔滨市南通大街145号</w:t>
      </w:r>
      <w:r>
        <w:rPr>
          <w:rFonts w:hint="eastAsia" w:ascii="宋体" w:hAnsi="宋体" w:eastAsia="宋体" w:cs="宋体"/>
          <w:color w:val="000000"/>
          <w:kern w:val="0"/>
          <w:sz w:val="24"/>
          <w:szCs w:val="24"/>
          <w:highlight w:val="none"/>
        </w:rPr>
        <w:t>　</w:t>
      </w:r>
    </w:p>
    <w:p>
      <w:pPr>
        <w:widowControl/>
        <w:snapToGrid w:val="0"/>
        <w:spacing w:line="360" w:lineRule="auto"/>
        <w:ind w:firstLine="484" w:firstLineChars="200"/>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联系方式：</w:t>
      </w:r>
      <w:r>
        <w:rPr>
          <w:rFonts w:hint="eastAsia" w:ascii="宋体" w:hAnsi="宋体" w:eastAsia="宋体" w:cs="宋体"/>
          <w:color w:val="000000"/>
          <w:kern w:val="0"/>
          <w:sz w:val="24"/>
          <w:szCs w:val="24"/>
          <w:highlight w:val="none"/>
          <w:lang w:val="en-US" w:eastAsia="zh-CN"/>
        </w:rPr>
        <w:t>0451-82519862　</w:t>
      </w:r>
    </w:p>
    <w:p>
      <w:pPr>
        <w:widowControl/>
        <w:snapToGrid w:val="0"/>
        <w:spacing w:line="360" w:lineRule="auto"/>
        <w:ind w:firstLine="484" w:firstLineChars="200"/>
        <w:jc w:val="left"/>
        <w:rPr>
          <w:rFonts w:hint="eastAsia" w:ascii="宋体" w:hAnsi="宋体" w:eastAsia="宋体" w:cs="宋体"/>
          <w:color w:val="000000"/>
          <w:kern w:val="0"/>
          <w:sz w:val="24"/>
          <w:szCs w:val="24"/>
          <w:highlight w:val="none"/>
        </w:rPr>
      </w:pPr>
      <w:bookmarkStart w:id="41" w:name="_Toc28359020"/>
      <w:bookmarkStart w:id="42" w:name="_Toc35393638"/>
      <w:bookmarkStart w:id="43" w:name="_Toc35393807"/>
      <w:bookmarkStart w:id="44" w:name="_Toc28359097"/>
      <w:r>
        <w:rPr>
          <w:rFonts w:hint="eastAsia" w:ascii="宋体" w:hAnsi="宋体" w:eastAsia="宋体" w:cs="宋体"/>
          <w:color w:val="000000"/>
          <w:kern w:val="0"/>
          <w:sz w:val="24"/>
          <w:szCs w:val="24"/>
          <w:highlight w:val="none"/>
        </w:rPr>
        <w:t>2.采购代理机构信息</w:t>
      </w:r>
      <w:bookmarkEnd w:id="41"/>
      <w:bookmarkEnd w:id="42"/>
      <w:bookmarkEnd w:id="43"/>
      <w:bookmarkEnd w:id="44"/>
    </w:p>
    <w:p>
      <w:pPr>
        <w:widowControl/>
        <w:snapToGrid w:val="0"/>
        <w:spacing w:line="360" w:lineRule="auto"/>
        <w:ind w:firstLine="484" w:firstLineChars="200"/>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名    称：</w:t>
      </w:r>
      <w:r>
        <w:rPr>
          <w:rFonts w:hint="eastAsia" w:ascii="宋体" w:hAnsi="宋体" w:eastAsia="宋体" w:cs="宋体"/>
          <w:color w:val="000000"/>
          <w:kern w:val="0"/>
          <w:sz w:val="24"/>
          <w:szCs w:val="24"/>
          <w:highlight w:val="none"/>
          <w:lang w:val="en-US" w:eastAsia="zh-CN"/>
        </w:rPr>
        <w:t>正信伟业工程咨询管理有限公司</w:t>
      </w:r>
      <w:r>
        <w:rPr>
          <w:rFonts w:hint="eastAsia" w:ascii="宋体" w:hAnsi="宋体" w:eastAsia="宋体" w:cs="宋体"/>
          <w:color w:val="000000"/>
          <w:kern w:val="0"/>
          <w:sz w:val="24"/>
          <w:szCs w:val="24"/>
          <w:highlight w:val="none"/>
        </w:rPr>
        <w:t>　</w:t>
      </w:r>
    </w:p>
    <w:p>
      <w:pPr>
        <w:widowControl/>
        <w:snapToGrid w:val="0"/>
        <w:spacing w:line="360" w:lineRule="auto"/>
        <w:ind w:firstLine="484" w:firstLineChars="200"/>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地　　址：</w:t>
      </w:r>
      <w:r>
        <w:rPr>
          <w:rFonts w:hint="eastAsia" w:ascii="宋体" w:hAnsi="宋体" w:eastAsia="宋体" w:cs="宋体"/>
          <w:color w:val="000000"/>
          <w:kern w:val="0"/>
          <w:sz w:val="24"/>
          <w:szCs w:val="24"/>
          <w:highlight w:val="none"/>
          <w:lang w:val="en-US" w:eastAsia="zh-CN"/>
        </w:rPr>
        <w:t>黑龙江省哈尔滨市香坊区红旗大街235号投资大厦20层</w:t>
      </w:r>
    </w:p>
    <w:p>
      <w:pPr>
        <w:widowControl/>
        <w:snapToGrid w:val="0"/>
        <w:spacing w:line="360" w:lineRule="auto"/>
        <w:ind w:firstLine="484" w:firstLineChars="200"/>
        <w:jc w:val="left"/>
        <w:rPr>
          <w:rFonts w:hint="eastAsia"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rPr>
        <w:t>联系方式：</w:t>
      </w:r>
      <w:r>
        <w:rPr>
          <w:rFonts w:hint="eastAsia" w:ascii="宋体" w:hAnsi="宋体" w:eastAsia="宋体" w:cs="宋体"/>
          <w:color w:val="000000"/>
          <w:kern w:val="0"/>
          <w:sz w:val="24"/>
          <w:szCs w:val="24"/>
          <w:highlight w:val="none"/>
          <w:lang w:val="en-US" w:eastAsia="zh-CN"/>
        </w:rPr>
        <w:t>0451-82362805</w:t>
      </w:r>
    </w:p>
    <w:p>
      <w:pPr>
        <w:widowControl/>
        <w:snapToGrid w:val="0"/>
        <w:spacing w:line="360" w:lineRule="auto"/>
        <w:ind w:firstLine="484" w:firstLineChars="200"/>
        <w:jc w:val="left"/>
        <w:rPr>
          <w:rFonts w:hint="eastAsia" w:ascii="宋体" w:hAnsi="宋体" w:eastAsia="宋体" w:cs="宋体"/>
          <w:color w:val="000000"/>
          <w:kern w:val="0"/>
          <w:sz w:val="24"/>
          <w:szCs w:val="24"/>
          <w:highlight w:val="none"/>
        </w:rPr>
      </w:pPr>
      <w:bookmarkStart w:id="45" w:name="_Toc28359098"/>
      <w:bookmarkStart w:id="46" w:name="_Toc35393808"/>
      <w:bookmarkStart w:id="47" w:name="_Toc35393639"/>
      <w:bookmarkStart w:id="48" w:name="_Toc28359021"/>
      <w:r>
        <w:rPr>
          <w:rFonts w:hint="eastAsia" w:ascii="宋体" w:hAnsi="宋体" w:eastAsia="宋体" w:cs="宋体"/>
          <w:color w:val="000000"/>
          <w:kern w:val="0"/>
          <w:sz w:val="24"/>
          <w:szCs w:val="24"/>
          <w:highlight w:val="none"/>
        </w:rPr>
        <w:t>3.项目联系方式</w:t>
      </w:r>
      <w:bookmarkEnd w:id="45"/>
      <w:bookmarkEnd w:id="46"/>
      <w:bookmarkEnd w:id="47"/>
      <w:bookmarkEnd w:id="48"/>
    </w:p>
    <w:p>
      <w:pPr>
        <w:widowControl/>
        <w:snapToGrid w:val="0"/>
        <w:spacing w:line="360" w:lineRule="auto"/>
        <w:ind w:firstLine="484" w:firstLineChars="200"/>
        <w:jc w:val="left"/>
        <w:rPr>
          <w:rFonts w:hint="default" w:ascii="宋体" w:hAnsi="宋体" w:eastAsia="宋体" w:cs="宋体"/>
          <w:color w:val="000000"/>
          <w:kern w:val="0"/>
          <w:sz w:val="24"/>
          <w:szCs w:val="24"/>
          <w:highlight w:val="none"/>
          <w:lang w:val="en-US" w:eastAsia="zh-CN"/>
        </w:rPr>
      </w:pPr>
      <w:r>
        <w:rPr>
          <w:rFonts w:hint="eastAsia" w:ascii="宋体" w:hAnsi="宋体" w:eastAsia="宋体" w:cs="宋体"/>
          <w:color w:val="000000"/>
          <w:kern w:val="0"/>
          <w:sz w:val="24"/>
          <w:szCs w:val="24"/>
          <w:highlight w:val="none"/>
        </w:rPr>
        <w:t>项目联系人：</w:t>
      </w:r>
      <w:r>
        <w:rPr>
          <w:rFonts w:hint="eastAsia" w:ascii="宋体" w:hAnsi="宋体" w:eastAsia="宋体" w:cs="宋体"/>
          <w:color w:val="000000"/>
          <w:kern w:val="0"/>
          <w:sz w:val="24"/>
          <w:szCs w:val="24"/>
          <w:highlight w:val="none"/>
          <w:lang w:val="en-US" w:eastAsia="zh-CN"/>
        </w:rPr>
        <w:t xml:space="preserve">邵先生 </w:t>
      </w:r>
    </w:p>
    <w:p>
      <w:pPr>
        <w:widowControl/>
        <w:snapToGrid w:val="0"/>
        <w:spacing w:line="360" w:lineRule="auto"/>
        <w:ind w:firstLine="484" w:firstLineChars="200"/>
        <w:jc w:val="left"/>
        <w:rPr>
          <w:highlight w:val="none"/>
        </w:rPr>
      </w:pPr>
      <w:r>
        <w:rPr>
          <w:rFonts w:hint="eastAsia" w:ascii="宋体" w:hAnsi="宋体" w:eastAsia="宋体" w:cs="宋体"/>
          <w:color w:val="000000"/>
          <w:kern w:val="0"/>
          <w:sz w:val="24"/>
          <w:szCs w:val="24"/>
          <w:highlight w:val="none"/>
        </w:rPr>
        <w:t xml:space="preserve">电　　 </w:t>
      </w:r>
      <w:r>
        <w:rPr>
          <w:rFonts w:hint="eastAsia" w:ascii="宋体" w:hAnsi="宋体" w:eastAsia="宋体" w:cs="宋体"/>
          <w:color w:val="000000"/>
          <w:kern w:val="0"/>
          <w:sz w:val="24"/>
          <w:szCs w:val="24"/>
          <w:highlight w:val="none"/>
          <w:lang w:val="en-US" w:eastAsia="zh-CN"/>
        </w:rPr>
        <w:t xml:space="preserve"> </w:t>
      </w:r>
      <w:r>
        <w:rPr>
          <w:rFonts w:hint="eastAsia" w:ascii="宋体" w:hAnsi="宋体" w:eastAsia="宋体" w:cs="宋体"/>
          <w:color w:val="000000"/>
          <w:kern w:val="0"/>
          <w:sz w:val="24"/>
          <w:szCs w:val="24"/>
          <w:highlight w:val="none"/>
        </w:rPr>
        <w:t>话：</w:t>
      </w:r>
      <w:r>
        <w:rPr>
          <w:rFonts w:hint="eastAsia" w:ascii="宋体" w:hAnsi="宋体" w:eastAsia="宋体" w:cs="宋体"/>
          <w:color w:val="000000"/>
          <w:kern w:val="0"/>
          <w:sz w:val="24"/>
          <w:szCs w:val="24"/>
          <w:highlight w:val="none"/>
          <w:lang w:val="en-US" w:eastAsia="zh-CN"/>
        </w:rPr>
        <w:t xml:space="preserve">0451-82362805-8072 </w:t>
      </w:r>
    </w:p>
    <w:p>
      <w:pPr>
        <w:keepNext w:val="0"/>
        <w:keepLines w:val="0"/>
        <w:pageBreakBefore w:val="0"/>
        <w:kinsoku/>
        <w:wordWrap/>
        <w:overflowPunct/>
        <w:topLinePunct w:val="0"/>
        <w:autoSpaceDE/>
        <w:autoSpaceDN/>
        <w:bidi w:val="0"/>
        <w:adjustRightInd/>
        <w:snapToGrid w:val="0"/>
        <w:spacing w:line="360" w:lineRule="auto"/>
        <w:ind w:firstLine="424" w:firstLineChars="200"/>
        <w:jc w:val="righ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br w:type="page"/>
      </w:r>
    </w:p>
    <w:p>
      <w:pPr>
        <w:keepNext/>
        <w:keepLines/>
        <w:widowControl/>
        <w:tabs>
          <w:tab w:val="left" w:pos="720"/>
        </w:tabs>
        <w:spacing w:before="120" w:after="120" w:line="360" w:lineRule="auto"/>
        <w:jc w:val="center"/>
        <w:outlineLvl w:val="0"/>
        <w:rPr>
          <w:rFonts w:hint="eastAsia" w:ascii="宋体" w:hAnsi="宋体" w:eastAsia="宋体" w:cs="宋体"/>
          <w:b/>
          <w:bCs/>
          <w:sz w:val="30"/>
          <w:szCs w:val="30"/>
          <w:highlight w:val="none"/>
        </w:rPr>
      </w:pPr>
      <w:bookmarkStart w:id="49" w:name="_Toc13810"/>
    </w:p>
    <w:p>
      <w:pPr>
        <w:keepNext/>
        <w:keepLines/>
        <w:widowControl/>
        <w:tabs>
          <w:tab w:val="left" w:pos="720"/>
        </w:tabs>
        <w:spacing w:before="120" w:after="120" w:line="360" w:lineRule="auto"/>
        <w:jc w:val="center"/>
        <w:outlineLvl w:val="0"/>
        <w:rPr>
          <w:rFonts w:hint="eastAsia" w:ascii="黑体" w:hAnsi="黑体" w:eastAsia="黑体" w:cs="黑体"/>
          <w:b/>
          <w:bCs/>
          <w:sz w:val="36"/>
          <w:szCs w:val="36"/>
          <w:highlight w:val="none"/>
        </w:rPr>
      </w:pPr>
      <w:r>
        <w:rPr>
          <w:rFonts w:hint="eastAsia" w:ascii="黑体" w:hAnsi="黑体" w:eastAsia="黑体" w:cs="黑体"/>
          <w:b/>
          <w:bCs/>
          <w:sz w:val="36"/>
          <w:szCs w:val="36"/>
          <w:highlight w:val="none"/>
        </w:rPr>
        <w:t>第二部分  供应商须知</w:t>
      </w:r>
      <w:bookmarkEnd w:id="49"/>
    </w:p>
    <w:p>
      <w:pPr>
        <w:snapToGrid w:val="0"/>
        <w:spacing w:line="360" w:lineRule="auto"/>
        <w:ind w:left="600"/>
        <w:jc w:val="center"/>
        <w:rPr>
          <w:rFonts w:hint="eastAsia" w:ascii="宋体" w:hAnsi="宋体" w:eastAsia="宋体" w:cs="宋体"/>
          <w:sz w:val="21"/>
          <w:szCs w:val="21"/>
          <w:highlight w:val="none"/>
        </w:rPr>
      </w:pPr>
    </w:p>
    <w:p>
      <w:pPr>
        <w:pStyle w:val="7"/>
        <w:widowControl/>
        <w:rPr>
          <w:rFonts w:hint="eastAsia" w:ascii="黑体" w:hAnsi="黑体" w:eastAsia="黑体" w:cs="黑体"/>
          <w:sz w:val="28"/>
          <w:szCs w:val="28"/>
          <w:highlight w:val="none"/>
        </w:rPr>
      </w:pPr>
      <w:r>
        <w:rPr>
          <w:rFonts w:hint="eastAsia" w:ascii="黑体" w:hAnsi="黑体" w:eastAsia="黑体" w:cs="黑体"/>
          <w:sz w:val="28"/>
          <w:szCs w:val="28"/>
          <w:highlight w:val="none"/>
        </w:rPr>
        <w:t>A说  明</w:t>
      </w:r>
    </w:p>
    <w:p>
      <w:pPr>
        <w:snapToGrid w:val="0"/>
        <w:ind w:left="600"/>
        <w:jc w:val="center"/>
        <w:rPr>
          <w:rFonts w:hint="eastAsia" w:ascii="宋体" w:hAnsi="宋体" w:eastAsia="宋体" w:cs="宋体"/>
          <w:sz w:val="21"/>
          <w:szCs w:val="21"/>
          <w:highlight w:val="none"/>
        </w:rPr>
      </w:pPr>
    </w:p>
    <w:p>
      <w:pPr>
        <w:snapToGrid w:val="0"/>
        <w:spacing w:line="360" w:lineRule="auto"/>
        <w:rPr>
          <w:rFonts w:hint="eastAsia" w:ascii="宋体" w:hAnsi="宋体" w:eastAsia="宋体" w:cs="宋体"/>
          <w:b/>
          <w:sz w:val="21"/>
          <w:szCs w:val="21"/>
          <w:highlight w:val="none"/>
        </w:rPr>
      </w:pPr>
      <w:r>
        <w:rPr>
          <w:rFonts w:hint="eastAsia" w:ascii="宋体" w:hAnsi="宋体" w:eastAsia="宋体" w:cs="宋体"/>
          <w:b/>
          <w:sz w:val="21"/>
          <w:szCs w:val="21"/>
          <w:highlight w:val="none"/>
        </w:rPr>
        <w:t>一、委托</w:t>
      </w:r>
    </w:p>
    <w:p>
      <w:pPr>
        <w:snapToGrid w:val="0"/>
        <w:spacing w:line="360" w:lineRule="auto"/>
        <w:ind w:firstLine="424"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如参加磋商的代表不是法定代表人，须持有《法定代表人授权书》（统一格式）。</w:t>
      </w:r>
    </w:p>
    <w:p>
      <w:pPr>
        <w:snapToGrid w:val="0"/>
        <w:spacing w:line="360" w:lineRule="auto"/>
        <w:rPr>
          <w:rFonts w:hint="eastAsia" w:ascii="宋体" w:hAnsi="宋体" w:eastAsia="宋体" w:cs="宋体"/>
          <w:b/>
          <w:sz w:val="21"/>
          <w:szCs w:val="21"/>
          <w:highlight w:val="none"/>
        </w:rPr>
      </w:pPr>
      <w:r>
        <w:rPr>
          <w:rFonts w:hint="eastAsia" w:ascii="宋体" w:hAnsi="宋体" w:eastAsia="宋体" w:cs="宋体"/>
          <w:b/>
          <w:sz w:val="21"/>
          <w:szCs w:val="21"/>
          <w:highlight w:val="none"/>
        </w:rPr>
        <w:t>二、费用</w:t>
      </w:r>
    </w:p>
    <w:p>
      <w:pPr>
        <w:snapToGrid w:val="0"/>
        <w:spacing w:line="360" w:lineRule="auto"/>
        <w:ind w:firstLine="424"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1.无论磋商过程中的作法和结果如何，参加磋商的供应商自行承担所有参加磋商有关的全部费用。</w:t>
      </w:r>
    </w:p>
    <w:p>
      <w:pPr>
        <w:snapToGrid w:val="0"/>
        <w:spacing w:line="360" w:lineRule="auto"/>
        <w:ind w:firstLine="424" w:firstLineChars="200"/>
        <w:rPr>
          <w:rFonts w:ascii="宋体" w:hAnsi="宋体" w:cs="宋体"/>
          <w:szCs w:val="21"/>
        </w:rPr>
      </w:pPr>
      <w:bookmarkStart w:id="50" w:name="_Toc865"/>
      <w:r>
        <w:rPr>
          <w:rFonts w:hint="eastAsia" w:ascii="宋体" w:hAnsi="宋体" w:cs="宋体"/>
          <w:szCs w:val="21"/>
        </w:rPr>
        <w:t>2、</w:t>
      </w:r>
      <w:r>
        <w:rPr>
          <w:rFonts w:hint="eastAsia" w:ascii="宋体" w:hAnsi="宋体" w:cs="宋体"/>
          <w:szCs w:val="21"/>
          <w:lang w:val="en-US" w:eastAsia="zh-CN"/>
        </w:rPr>
        <w:t>本次磋商代理服务费参照</w:t>
      </w:r>
      <w:r>
        <w:rPr>
          <w:rFonts w:hint="eastAsia" w:ascii="宋体" w:hAnsi="宋体" w:cs="宋体"/>
          <w:szCs w:val="21"/>
        </w:rPr>
        <w:t>执行《招标代理服务收费管理暂行办法》（计价格[2002]1980号）及《关于招标代理服务费收费有关问题的通知》（发改办价格[2003]857号），</w:t>
      </w:r>
      <w:r>
        <w:rPr>
          <w:rFonts w:hint="eastAsia" w:ascii="宋体" w:hAnsi="宋体" w:cs="宋体"/>
          <w:szCs w:val="21"/>
          <w:lang w:val="en-US" w:eastAsia="zh-CN"/>
        </w:rPr>
        <w:t>全额计取，由</w:t>
      </w:r>
      <w:r>
        <w:rPr>
          <w:rFonts w:hint="eastAsia" w:ascii="宋体" w:hAnsi="宋体" w:cs="宋体"/>
          <w:szCs w:val="21"/>
        </w:rPr>
        <w:t>成交供应商支付。</w:t>
      </w:r>
    </w:p>
    <w:p>
      <w:pPr>
        <w:snapToGrid w:val="0"/>
        <w:spacing w:line="360" w:lineRule="auto"/>
        <w:rPr>
          <w:rFonts w:hint="eastAsia" w:ascii="宋体" w:hAnsi="宋体" w:eastAsia="宋体" w:cs="宋体"/>
          <w:b/>
          <w:sz w:val="21"/>
          <w:szCs w:val="21"/>
          <w:highlight w:val="none"/>
        </w:rPr>
      </w:pPr>
      <w:r>
        <w:rPr>
          <w:rFonts w:hint="eastAsia" w:ascii="宋体" w:hAnsi="宋体" w:eastAsia="宋体" w:cs="宋体"/>
          <w:b/>
          <w:sz w:val="21"/>
          <w:szCs w:val="21"/>
          <w:highlight w:val="none"/>
        </w:rPr>
        <w:t>三、竞争性磋商文件的解释</w:t>
      </w:r>
      <w:bookmarkEnd w:id="50"/>
    </w:p>
    <w:p>
      <w:pPr>
        <w:snapToGrid w:val="0"/>
        <w:spacing w:line="360" w:lineRule="auto"/>
        <w:ind w:firstLine="424"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本竞争性磋商文件各条款由</w:t>
      </w:r>
      <w:r>
        <w:rPr>
          <w:rFonts w:hint="eastAsia" w:ascii="宋体" w:hAnsi="宋体" w:eastAsia="宋体" w:cs="宋体"/>
          <w:sz w:val="21"/>
          <w:szCs w:val="21"/>
          <w:highlight w:val="none"/>
          <w:lang w:eastAsia="zh-CN"/>
        </w:rPr>
        <w:t>正信伟业工程咨询管理有限公司</w:t>
      </w:r>
      <w:r>
        <w:rPr>
          <w:rFonts w:hint="eastAsia" w:ascii="宋体" w:hAnsi="宋体" w:eastAsia="宋体" w:cs="宋体"/>
          <w:sz w:val="21"/>
          <w:szCs w:val="21"/>
          <w:highlight w:val="none"/>
        </w:rPr>
        <w:t>负责解释。</w:t>
      </w:r>
    </w:p>
    <w:p>
      <w:pPr>
        <w:snapToGrid w:val="0"/>
        <w:spacing w:line="360" w:lineRule="auto"/>
        <w:ind w:firstLine="424" w:firstLineChars="200"/>
        <w:rPr>
          <w:rFonts w:hint="eastAsia" w:ascii="宋体" w:hAnsi="宋体" w:eastAsia="宋体" w:cs="宋体"/>
          <w:sz w:val="21"/>
          <w:szCs w:val="21"/>
          <w:highlight w:val="none"/>
        </w:rPr>
      </w:pPr>
    </w:p>
    <w:p>
      <w:pPr>
        <w:snapToGrid w:val="0"/>
        <w:spacing w:line="360" w:lineRule="auto"/>
        <w:jc w:val="center"/>
        <w:rPr>
          <w:rFonts w:hint="eastAsia" w:ascii="黑体" w:hAnsi="黑体" w:eastAsia="黑体" w:cs="黑体"/>
          <w:b/>
          <w:bCs/>
          <w:sz w:val="28"/>
          <w:szCs w:val="28"/>
          <w:highlight w:val="none"/>
        </w:rPr>
      </w:pPr>
      <w:bookmarkStart w:id="51" w:name="_Toc467141130"/>
      <w:bookmarkStart w:id="52" w:name="_Toc466302627"/>
      <w:r>
        <w:rPr>
          <w:rFonts w:hint="eastAsia" w:ascii="黑体" w:hAnsi="黑体" w:eastAsia="黑体" w:cs="黑体"/>
          <w:b/>
          <w:bCs/>
          <w:sz w:val="28"/>
          <w:szCs w:val="28"/>
          <w:highlight w:val="none"/>
        </w:rPr>
        <w:t>B  磋商文件</w:t>
      </w:r>
      <w:bookmarkEnd w:id="51"/>
      <w:bookmarkEnd w:id="52"/>
    </w:p>
    <w:p>
      <w:pPr>
        <w:snapToGrid w:val="0"/>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rPr>
        <w:t>四、竞争性磋商文件的构成</w:t>
      </w:r>
    </w:p>
    <w:p>
      <w:pPr>
        <w:spacing w:line="360" w:lineRule="auto"/>
        <w:ind w:firstLine="424"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竞争性磋商文件（以下简称磋商文件）由下列文件及在磋商过程中发出的更正和补充文件组成：</w:t>
      </w:r>
    </w:p>
    <w:p>
      <w:pPr>
        <w:spacing w:line="360" w:lineRule="auto"/>
        <w:ind w:firstLine="424"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第一部分  竞争性磋商公告</w:t>
      </w:r>
    </w:p>
    <w:p>
      <w:pPr>
        <w:spacing w:line="360" w:lineRule="auto"/>
        <w:ind w:firstLine="424"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第二部分  供应商须知</w:t>
      </w:r>
    </w:p>
    <w:p>
      <w:pPr>
        <w:spacing w:line="360" w:lineRule="auto"/>
        <w:ind w:firstLine="424"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第三部分  供货范围及技术要求</w:t>
      </w:r>
    </w:p>
    <w:p>
      <w:pPr>
        <w:spacing w:line="360" w:lineRule="auto"/>
        <w:ind w:firstLine="424"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第四部分  采购合同（参照执行）</w:t>
      </w:r>
    </w:p>
    <w:p>
      <w:pPr>
        <w:spacing w:line="360" w:lineRule="auto"/>
        <w:ind w:firstLine="424" w:firstLineChars="200"/>
        <w:rPr>
          <w:rFonts w:hint="eastAsia" w:asciiTheme="minorEastAsia" w:hAnsiTheme="minorEastAsia" w:eastAsiaTheme="minorEastAsia" w:cstheme="minorEastAsia"/>
          <w:sz w:val="21"/>
          <w:szCs w:val="21"/>
          <w:highlight w:val="none"/>
        </w:rPr>
      </w:pPr>
      <w:r>
        <w:rPr>
          <w:rFonts w:hint="eastAsia" w:asciiTheme="minorEastAsia" w:hAnsiTheme="minorEastAsia" w:eastAsiaTheme="minorEastAsia" w:cstheme="minorEastAsia"/>
          <w:sz w:val="21"/>
          <w:szCs w:val="21"/>
          <w:highlight w:val="none"/>
        </w:rPr>
        <w:t>第五部分  响应文件格式及附件</w:t>
      </w:r>
    </w:p>
    <w:p>
      <w:pPr>
        <w:pStyle w:val="2"/>
        <w:ind w:firstLine="424" w:firstLineChars="200"/>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highlight w:val="none"/>
        </w:rPr>
        <w:t>第</w:t>
      </w:r>
      <w:r>
        <w:rPr>
          <w:rFonts w:hint="eastAsia" w:asciiTheme="minorEastAsia" w:hAnsiTheme="minorEastAsia" w:eastAsiaTheme="minorEastAsia" w:cstheme="minorEastAsia"/>
          <w:sz w:val="21"/>
          <w:szCs w:val="21"/>
          <w:highlight w:val="none"/>
          <w:lang w:val="en-US" w:eastAsia="zh-CN"/>
        </w:rPr>
        <w:t>六</w:t>
      </w:r>
      <w:r>
        <w:rPr>
          <w:rFonts w:hint="eastAsia" w:asciiTheme="minorEastAsia" w:hAnsiTheme="minorEastAsia" w:eastAsiaTheme="minorEastAsia" w:cstheme="minorEastAsia"/>
          <w:sz w:val="21"/>
          <w:szCs w:val="21"/>
          <w:highlight w:val="none"/>
        </w:rPr>
        <w:t xml:space="preserve">部分 </w:t>
      </w:r>
      <w:r>
        <w:rPr>
          <w:rFonts w:hint="eastAsia" w:asciiTheme="minorEastAsia" w:hAnsiTheme="minorEastAsia" w:eastAsiaTheme="minorEastAsia" w:cstheme="minorEastAsia"/>
          <w:sz w:val="21"/>
          <w:szCs w:val="21"/>
          <w:highlight w:val="none"/>
          <w:lang w:val="en-US" w:eastAsia="zh-CN"/>
        </w:rPr>
        <w:t xml:space="preserve"> </w:t>
      </w:r>
      <w:r>
        <w:rPr>
          <w:rFonts w:hint="eastAsia" w:asciiTheme="minorEastAsia" w:hAnsiTheme="minorEastAsia" w:eastAsiaTheme="minorEastAsia" w:cstheme="minorEastAsia"/>
          <w:kern w:val="44"/>
          <w:sz w:val="21"/>
          <w:szCs w:val="21"/>
        </w:rPr>
        <w:t>竞争性磋商最后报价书</w:t>
      </w:r>
    </w:p>
    <w:p>
      <w:pPr>
        <w:snapToGrid w:val="0"/>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rPr>
        <w:t>五、磋商文件的澄清和修改</w:t>
      </w:r>
    </w:p>
    <w:p>
      <w:pPr>
        <w:spacing w:line="360" w:lineRule="auto"/>
        <w:ind w:firstLine="424"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1.在磋商截止时间</w:t>
      </w:r>
      <w:r>
        <w:rPr>
          <w:rFonts w:hint="eastAsia" w:ascii="宋体" w:hAnsi="宋体" w:eastAsia="宋体" w:cs="宋体"/>
          <w:sz w:val="21"/>
          <w:szCs w:val="21"/>
          <w:highlight w:val="none"/>
          <w:lang w:val="en-US" w:eastAsia="zh-CN"/>
        </w:rPr>
        <w:t>五</w:t>
      </w:r>
      <w:r>
        <w:rPr>
          <w:rFonts w:hint="eastAsia" w:ascii="宋体" w:hAnsi="宋体" w:eastAsia="宋体" w:cs="宋体"/>
          <w:sz w:val="21"/>
          <w:szCs w:val="21"/>
          <w:highlight w:val="none"/>
        </w:rPr>
        <w:t>日前，代理机构可对磋商文件进行澄清或修改，在中国政府采购网</w:t>
      </w:r>
      <w:r>
        <w:rPr>
          <w:rFonts w:hint="eastAsia" w:ascii="宋体" w:hAnsi="宋体" w:eastAsia="宋体" w:cs="宋体"/>
          <w:sz w:val="21"/>
          <w:szCs w:val="21"/>
          <w:highlight w:val="none"/>
          <w:lang w:eastAsia="zh-CN"/>
        </w:rPr>
        <w:t>、中国招标投标网</w:t>
      </w:r>
      <w:r>
        <w:rPr>
          <w:rFonts w:hint="eastAsia" w:ascii="宋体" w:hAnsi="宋体" w:eastAsia="宋体" w:cs="宋体"/>
          <w:sz w:val="21"/>
          <w:szCs w:val="21"/>
          <w:highlight w:val="none"/>
        </w:rPr>
        <w:t>发布更正公告，并以书面形式通知所有报名成功并获取磋商文件的供应商。该澄清或修改的内容为磋商文件的组成部分。</w:t>
      </w:r>
    </w:p>
    <w:p>
      <w:pPr>
        <w:spacing w:line="360" w:lineRule="auto"/>
        <w:ind w:firstLine="424"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代理机构可根据实际情况，适当延长磋商响应文件递交截止时间和磋商开始时间。但至少应当在磋商文件要求提交响应文件的截止时间三日前，将变更时间通知所有报名成功并获取磋商文件的供应商，并在中国政府采购网</w:t>
      </w:r>
      <w:r>
        <w:rPr>
          <w:rFonts w:hint="eastAsia" w:ascii="宋体" w:hAnsi="宋体" w:eastAsia="宋体" w:cs="宋体"/>
          <w:sz w:val="21"/>
          <w:szCs w:val="21"/>
          <w:highlight w:val="none"/>
          <w:lang w:eastAsia="zh-CN"/>
        </w:rPr>
        <w:t>、中国招标投标网</w:t>
      </w:r>
      <w:r>
        <w:rPr>
          <w:rFonts w:hint="eastAsia" w:ascii="宋体" w:hAnsi="宋体" w:eastAsia="宋体" w:cs="宋体"/>
          <w:sz w:val="21"/>
          <w:szCs w:val="21"/>
          <w:highlight w:val="none"/>
        </w:rPr>
        <w:t>发布更正公告。</w:t>
      </w:r>
    </w:p>
    <w:p>
      <w:pPr>
        <w:snapToGrid w:val="0"/>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rPr>
        <w:t>六、质疑提起与受理</w:t>
      </w:r>
    </w:p>
    <w:p>
      <w:pPr>
        <w:spacing w:line="360" w:lineRule="auto"/>
        <w:ind w:firstLine="424"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1.供应商认为磋商文件、采购过程和成交结果使自己的权益受到损害时，可以向采购代理机构提出询问或质疑，且需提供相关举证材料，逾期提出无效。</w:t>
      </w:r>
    </w:p>
    <w:p>
      <w:pPr>
        <w:spacing w:line="360" w:lineRule="auto"/>
        <w:ind w:firstLine="424"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2.询问和质疑的提出与处理应依据政府采购相关规定办理。</w:t>
      </w:r>
    </w:p>
    <w:p>
      <w:pPr>
        <w:snapToGrid w:val="0"/>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rPr>
        <w:t>七、投诉</w:t>
      </w:r>
    </w:p>
    <w:p>
      <w:pPr>
        <w:snapToGrid w:val="0"/>
        <w:spacing w:line="360" w:lineRule="auto"/>
        <w:ind w:firstLine="424"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质疑供应商对采购代理机构的答复不满意，或者采购代理机构未在规定期限内作出答复的，可以在答复期满后15个工作日内向同级政府采购监督管理部门提起投诉。</w:t>
      </w:r>
    </w:p>
    <w:p>
      <w:pPr>
        <w:snapToGrid w:val="0"/>
        <w:spacing w:line="360" w:lineRule="auto"/>
        <w:ind w:firstLine="564" w:firstLineChars="200"/>
        <w:jc w:val="center"/>
        <w:rPr>
          <w:rFonts w:hint="eastAsia" w:ascii="黑体" w:hAnsi="黑体" w:eastAsia="黑体" w:cs="黑体"/>
          <w:b/>
          <w:bCs/>
          <w:sz w:val="28"/>
          <w:szCs w:val="28"/>
          <w:highlight w:val="none"/>
        </w:rPr>
      </w:pPr>
      <w:r>
        <w:rPr>
          <w:rFonts w:hint="eastAsia" w:ascii="黑体" w:hAnsi="黑体" w:eastAsia="黑体" w:cs="黑体"/>
          <w:b/>
          <w:bCs/>
          <w:sz w:val="28"/>
          <w:szCs w:val="28"/>
          <w:highlight w:val="none"/>
        </w:rPr>
        <w:t>C、响应文件</w:t>
      </w:r>
    </w:p>
    <w:p>
      <w:pPr>
        <w:snapToGrid w:val="0"/>
        <w:spacing w:line="360" w:lineRule="auto"/>
        <w:ind w:firstLine="484" w:firstLineChars="200"/>
        <w:jc w:val="center"/>
        <w:rPr>
          <w:rFonts w:hint="eastAsia" w:ascii="宋体" w:hAnsi="宋体" w:eastAsia="宋体" w:cs="宋体"/>
          <w:sz w:val="24"/>
          <w:szCs w:val="24"/>
          <w:highlight w:val="none"/>
        </w:rPr>
      </w:pPr>
    </w:p>
    <w:p>
      <w:pPr>
        <w:snapToGrid w:val="0"/>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rPr>
        <w:t>九、响应文件计量单位</w:t>
      </w:r>
    </w:p>
    <w:p>
      <w:pPr>
        <w:snapToGrid w:val="0"/>
        <w:spacing w:line="360" w:lineRule="auto"/>
        <w:ind w:firstLine="424" w:firstLineChars="200"/>
        <w:rPr>
          <w:rFonts w:hint="eastAsia" w:ascii="宋体" w:hAnsi="宋体" w:eastAsia="宋体" w:cs="宋体"/>
          <w:sz w:val="24"/>
          <w:szCs w:val="24"/>
          <w:highlight w:val="none"/>
        </w:rPr>
      </w:pPr>
      <w:r>
        <w:rPr>
          <w:rFonts w:hint="eastAsia" w:ascii="宋体" w:hAnsi="宋体" w:eastAsia="宋体" w:cs="宋体"/>
          <w:sz w:val="21"/>
          <w:szCs w:val="21"/>
          <w:highlight w:val="none"/>
        </w:rPr>
        <w:t>响应文件中所使用的计量单位，除有特殊要求外，应采用国家法定计量单位，报价最小单位为人民币元。</w:t>
      </w:r>
    </w:p>
    <w:p>
      <w:pPr>
        <w:snapToGrid w:val="0"/>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rPr>
        <w:t>十、响应文件的组成</w:t>
      </w:r>
    </w:p>
    <w:p>
      <w:pPr>
        <w:pStyle w:val="6"/>
        <w:spacing w:before="0" w:after="0"/>
        <w:rPr>
          <w:rFonts w:hint="eastAsia" w:ascii="宋体" w:hAnsi="宋体" w:eastAsia="宋体" w:cs="宋体"/>
          <w:sz w:val="21"/>
          <w:szCs w:val="21"/>
          <w:highlight w:val="none"/>
        </w:rPr>
      </w:pPr>
      <w:bookmarkStart w:id="53" w:name="_Toc5598"/>
      <w:bookmarkStart w:id="54" w:name="_Toc11855"/>
      <w:bookmarkStart w:id="55" w:name="_Toc10738"/>
      <w:bookmarkStart w:id="56" w:name="_Toc24533"/>
      <w:r>
        <w:rPr>
          <w:rFonts w:hint="eastAsia" w:ascii="宋体" w:hAnsi="宋体" w:eastAsia="宋体" w:cs="宋体"/>
          <w:b w:val="0"/>
          <w:bCs/>
          <w:sz w:val="21"/>
          <w:szCs w:val="21"/>
          <w:highlight w:val="none"/>
        </w:rPr>
        <w:t>（一）响应文件（统一格式）包括：</w:t>
      </w:r>
      <w:bookmarkEnd w:id="53"/>
      <w:bookmarkEnd w:id="54"/>
      <w:bookmarkEnd w:id="55"/>
      <w:bookmarkEnd w:id="56"/>
    </w:p>
    <w:p>
      <w:pPr>
        <w:pStyle w:val="15"/>
        <w:tabs>
          <w:tab w:val="right" w:leader="dot" w:pos="8779"/>
        </w:tabs>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1、法定代表人授权书</w:t>
      </w:r>
    </w:p>
    <w:p>
      <w:pPr>
        <w:pStyle w:val="15"/>
        <w:tabs>
          <w:tab w:val="right" w:leader="dot" w:pos="8779"/>
        </w:tabs>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2、响应书</w:t>
      </w:r>
    </w:p>
    <w:p>
      <w:pPr>
        <w:pStyle w:val="15"/>
        <w:tabs>
          <w:tab w:val="right" w:leader="dot" w:pos="8779"/>
        </w:tabs>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3、资格证明文件</w:t>
      </w:r>
    </w:p>
    <w:p>
      <w:pPr>
        <w:pStyle w:val="15"/>
        <w:tabs>
          <w:tab w:val="right" w:leader="dot" w:pos="8779"/>
        </w:tabs>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4、法定代表人和授权代表身份证明</w:t>
      </w:r>
    </w:p>
    <w:p>
      <w:pPr>
        <w:pStyle w:val="15"/>
        <w:tabs>
          <w:tab w:val="right" w:leader="dot" w:pos="8779"/>
        </w:tabs>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5、响应文件附件</w:t>
      </w:r>
    </w:p>
    <w:p>
      <w:pPr>
        <w:pStyle w:val="15"/>
        <w:tabs>
          <w:tab w:val="right" w:leader="dot" w:pos="8779"/>
        </w:tabs>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6、技术偏离表</w:t>
      </w:r>
    </w:p>
    <w:p>
      <w:pPr>
        <w:spacing w:line="360" w:lineRule="auto"/>
        <w:rPr>
          <w:rFonts w:hint="eastAsia" w:ascii="宋体" w:hAnsi="宋体" w:eastAsia="宋体" w:cs="宋体"/>
          <w:sz w:val="21"/>
          <w:szCs w:val="21"/>
          <w:highlight w:val="none"/>
        </w:rPr>
      </w:pPr>
      <w:r>
        <w:rPr>
          <w:rFonts w:hint="eastAsia" w:ascii="宋体" w:hAnsi="宋体" w:eastAsia="宋体" w:cs="宋体"/>
          <w:sz w:val="24"/>
          <w:szCs w:val="24"/>
          <w:highlight w:val="none"/>
        </w:rPr>
        <w:t>（</w:t>
      </w:r>
      <w:r>
        <w:rPr>
          <w:rFonts w:hint="eastAsia" w:ascii="宋体" w:hAnsi="宋体" w:eastAsia="宋体" w:cs="宋体"/>
          <w:sz w:val="21"/>
          <w:szCs w:val="21"/>
          <w:highlight w:val="none"/>
        </w:rPr>
        <w:t>二）资格证明及其他文件包括:</w:t>
      </w:r>
    </w:p>
    <w:p>
      <w:pPr>
        <w:widowControl/>
        <w:snapToGrid w:val="0"/>
        <w:spacing w:line="360" w:lineRule="auto"/>
        <w:jc w:val="left"/>
        <w:rPr>
          <w:rFonts w:hint="eastAsia" w:ascii="宋体" w:hAnsi="宋体" w:eastAsia="宋体" w:cs="宋体"/>
          <w:kern w:val="0"/>
          <w:sz w:val="21"/>
          <w:szCs w:val="21"/>
          <w:highlight w:val="none"/>
          <w:lang w:eastAsia="zh-CN"/>
        </w:rPr>
      </w:pPr>
      <w:r>
        <w:rPr>
          <w:rFonts w:hint="eastAsia" w:ascii="宋体" w:hAnsi="宋体" w:eastAsia="宋体" w:cs="宋体"/>
          <w:kern w:val="0"/>
          <w:sz w:val="21"/>
          <w:szCs w:val="21"/>
          <w:highlight w:val="none"/>
        </w:rPr>
        <w:t xml:space="preserve">    ★1、营业执照副本</w:t>
      </w:r>
      <w:r>
        <w:rPr>
          <w:rFonts w:hint="eastAsia" w:ascii="宋体" w:hAnsi="宋体" w:eastAsia="宋体" w:cs="宋体"/>
          <w:kern w:val="0"/>
          <w:sz w:val="21"/>
          <w:szCs w:val="21"/>
          <w:highlight w:val="none"/>
          <w:lang w:eastAsia="zh-CN"/>
        </w:rPr>
        <w:t>；</w:t>
      </w:r>
    </w:p>
    <w:p>
      <w:pPr>
        <w:widowControl/>
        <w:snapToGrid w:val="0"/>
        <w:spacing w:line="360" w:lineRule="auto"/>
        <w:ind w:firstLine="424"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w:t>
      </w:r>
      <w:r>
        <w:rPr>
          <w:rFonts w:hint="eastAsia" w:ascii="宋体" w:hAnsi="宋体" w:eastAsia="宋体" w:cs="宋体"/>
          <w:kern w:val="0"/>
          <w:sz w:val="21"/>
          <w:szCs w:val="21"/>
          <w:highlight w:val="none"/>
          <w:lang w:eastAsia="zh-CN"/>
        </w:rPr>
        <w:t>银行基本账户开户许可证明</w:t>
      </w:r>
      <w:r>
        <w:rPr>
          <w:rFonts w:hint="eastAsia" w:ascii="宋体" w:hAnsi="宋体" w:eastAsia="宋体" w:cs="宋体"/>
          <w:kern w:val="0"/>
          <w:sz w:val="21"/>
          <w:szCs w:val="21"/>
          <w:highlight w:val="none"/>
        </w:rPr>
        <w:t>；</w:t>
      </w:r>
    </w:p>
    <w:p>
      <w:pPr>
        <w:widowControl/>
        <w:snapToGrid w:val="0"/>
        <w:spacing w:line="360" w:lineRule="auto"/>
        <w:ind w:firstLine="424" w:firstLineChars="200"/>
        <w:jc w:val="left"/>
        <w:rPr>
          <w:rFonts w:hint="eastAsia" w:ascii="宋体" w:hAnsi="宋体" w:eastAsia="宋体" w:cs="宋体"/>
          <w:kern w:val="0"/>
          <w:sz w:val="21"/>
          <w:szCs w:val="21"/>
          <w:highlight w:val="none"/>
          <w:lang w:eastAsia="zh-CN"/>
        </w:rPr>
      </w:pPr>
      <w:r>
        <w:rPr>
          <w:rFonts w:hint="eastAsia" w:ascii="宋体" w:hAnsi="宋体" w:eastAsia="宋体" w:cs="宋体"/>
          <w:kern w:val="0"/>
          <w:sz w:val="21"/>
          <w:szCs w:val="21"/>
          <w:highlight w:val="none"/>
        </w:rPr>
        <w:t>★</w:t>
      </w:r>
      <w:r>
        <w:rPr>
          <w:rFonts w:hint="eastAsia" w:ascii="宋体" w:hAnsi="宋体" w:eastAsia="宋体" w:cs="宋体"/>
          <w:kern w:val="0"/>
          <w:sz w:val="21"/>
          <w:szCs w:val="21"/>
          <w:highlight w:val="none"/>
          <w:lang w:val="en-US" w:eastAsia="zh-CN"/>
        </w:rPr>
        <w:t>3</w:t>
      </w:r>
      <w:r>
        <w:rPr>
          <w:rFonts w:hint="eastAsia" w:ascii="宋体" w:hAnsi="宋体" w:eastAsia="宋体" w:cs="宋体"/>
          <w:kern w:val="0"/>
          <w:sz w:val="21"/>
          <w:szCs w:val="21"/>
          <w:highlight w:val="none"/>
        </w:rPr>
        <w:t>、法定代表人授权书(法定代表人签字并加盖公章)</w:t>
      </w:r>
      <w:r>
        <w:rPr>
          <w:rFonts w:hint="eastAsia" w:ascii="宋体" w:hAnsi="宋体" w:eastAsia="宋体" w:cs="宋体"/>
          <w:kern w:val="0"/>
          <w:sz w:val="21"/>
          <w:szCs w:val="21"/>
          <w:highlight w:val="none"/>
          <w:lang w:eastAsia="zh-CN"/>
        </w:rPr>
        <w:t>；</w:t>
      </w:r>
    </w:p>
    <w:p>
      <w:pPr>
        <w:widowControl/>
        <w:snapToGrid w:val="0"/>
        <w:spacing w:line="360" w:lineRule="auto"/>
        <w:ind w:firstLine="424"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w:t>
      </w:r>
      <w:r>
        <w:rPr>
          <w:rFonts w:hint="eastAsia" w:ascii="宋体" w:hAnsi="宋体" w:eastAsia="宋体" w:cs="宋体"/>
          <w:kern w:val="0"/>
          <w:sz w:val="21"/>
          <w:szCs w:val="21"/>
          <w:highlight w:val="none"/>
          <w:lang w:val="en-US" w:eastAsia="zh-CN"/>
        </w:rPr>
        <w:t>4</w:t>
      </w:r>
      <w:r>
        <w:rPr>
          <w:rFonts w:hint="eastAsia" w:ascii="宋体" w:hAnsi="宋体" w:eastAsia="宋体" w:cs="宋体"/>
          <w:kern w:val="0"/>
          <w:sz w:val="21"/>
          <w:szCs w:val="21"/>
          <w:highlight w:val="none"/>
        </w:rPr>
        <w:t>、法定代表人或全权代表身份证明（身份证正反面）；</w:t>
      </w:r>
    </w:p>
    <w:p>
      <w:pPr>
        <w:widowControl/>
        <w:snapToGrid w:val="0"/>
        <w:spacing w:line="360" w:lineRule="auto"/>
        <w:ind w:firstLine="424" w:firstLineChars="200"/>
        <w:jc w:val="left"/>
        <w:rPr>
          <w:rFonts w:hint="eastAsia" w:ascii="宋体" w:hAnsi="宋体" w:cs="宋体"/>
          <w:szCs w:val="21"/>
        </w:rPr>
      </w:pPr>
      <w:r>
        <w:rPr>
          <w:rFonts w:hint="eastAsia" w:ascii="宋体" w:hAnsi="宋体" w:eastAsia="宋体" w:cs="宋体"/>
          <w:kern w:val="0"/>
          <w:sz w:val="21"/>
          <w:szCs w:val="21"/>
          <w:highlight w:val="none"/>
          <w:lang w:val="en-US" w:eastAsia="zh-CN"/>
        </w:rPr>
        <w:t>5</w:t>
      </w:r>
      <w:r>
        <w:rPr>
          <w:rFonts w:hint="eastAsia" w:ascii="宋体" w:hAnsi="宋体" w:eastAsia="宋体" w:cs="宋体"/>
          <w:kern w:val="0"/>
          <w:sz w:val="21"/>
          <w:szCs w:val="21"/>
          <w:highlight w:val="none"/>
        </w:rPr>
        <w:t>、供应商参加政府采购活动近三年内没有重大违法记录，对列入失信被执行人、重大税收违法案件当事人名单、以及政府采购严重违法失信行为记录名单中被</w:t>
      </w:r>
      <w:r>
        <w:rPr>
          <w:rFonts w:hint="eastAsia" w:ascii="宋体" w:hAnsi="宋体" w:cs="宋体"/>
          <w:szCs w:val="21"/>
        </w:rPr>
        <w:t>禁止参加1至3年政府采购活动的供应商（处罚期限尚未届满的），不得参与政府采购活动。供应商信用记录核查路径：</w:t>
      </w:r>
    </w:p>
    <w:p>
      <w:pPr>
        <w:pStyle w:val="15"/>
        <w:tabs>
          <w:tab w:val="right" w:leader="dot" w:pos="8779"/>
        </w:tabs>
        <w:spacing w:line="360" w:lineRule="auto"/>
        <w:ind w:firstLine="424" w:firstLineChars="200"/>
        <w:rPr>
          <w:rFonts w:hint="eastAsia" w:ascii="宋体" w:hAnsi="宋体" w:cs="宋体"/>
          <w:szCs w:val="21"/>
        </w:rPr>
      </w:pPr>
      <w:r>
        <w:rPr>
          <w:rFonts w:hint="eastAsia" w:ascii="宋体" w:hAnsi="宋体" w:cs="宋体"/>
          <w:szCs w:val="21"/>
        </w:rPr>
        <w:t>1）“信用中国”网站（www.creditchina.gov.cn）；</w:t>
      </w:r>
    </w:p>
    <w:p>
      <w:pPr>
        <w:pStyle w:val="15"/>
        <w:tabs>
          <w:tab w:val="right" w:leader="dot" w:pos="8779"/>
        </w:tabs>
        <w:spacing w:line="360" w:lineRule="auto"/>
        <w:ind w:firstLine="424" w:firstLineChars="200"/>
        <w:rPr>
          <w:rFonts w:hint="eastAsia" w:ascii="宋体" w:hAnsi="宋体" w:cs="宋体"/>
          <w:szCs w:val="21"/>
          <w:lang w:val="zh-TW"/>
        </w:rPr>
      </w:pPr>
      <w:r>
        <w:rPr>
          <w:rFonts w:hint="eastAsia" w:ascii="宋体" w:hAnsi="宋体" w:cs="宋体"/>
          <w:szCs w:val="21"/>
        </w:rPr>
        <w:t>2）</w:t>
      </w:r>
      <w:r>
        <w:rPr>
          <w:rFonts w:ascii="宋体" w:hAnsi="宋体" w:cs="宋体"/>
          <w:szCs w:val="21"/>
        </w:rPr>
        <w:t>“</w:t>
      </w:r>
      <w:r>
        <w:rPr>
          <w:rFonts w:hint="eastAsia" w:ascii="宋体" w:hAnsi="宋体" w:cs="宋体"/>
          <w:szCs w:val="21"/>
          <w:lang w:val="zh-TW" w:eastAsia="zh-TW"/>
        </w:rPr>
        <w:t>中国政府采购网”（www.ccgp.gov.cn/cr/list）</w:t>
      </w:r>
      <w:r>
        <w:rPr>
          <w:rFonts w:hint="eastAsia" w:ascii="宋体" w:hAnsi="宋体" w:cs="宋体"/>
          <w:szCs w:val="21"/>
          <w:lang w:val="zh-TW"/>
        </w:rPr>
        <w:t>；</w:t>
      </w:r>
    </w:p>
    <w:p>
      <w:pPr>
        <w:pStyle w:val="2"/>
        <w:ind w:firstLine="424" w:firstLineChars="200"/>
        <w:rPr>
          <w:rFonts w:hint="eastAsia"/>
          <w:lang w:val="zh-TW"/>
        </w:rPr>
      </w:pPr>
      <w:r>
        <w:rPr>
          <w:rFonts w:hint="eastAsia"/>
          <w:lang w:val="zh-TW"/>
        </w:rPr>
        <w:t>3）“国家企业信用信息公示系统”（http://www.gsxt.gov.cn/index.html）；</w:t>
      </w:r>
    </w:p>
    <w:p>
      <w:pPr>
        <w:pStyle w:val="2"/>
        <w:ind w:firstLine="424" w:firstLineChars="200"/>
        <w:rPr>
          <w:rFonts w:hint="eastAsia" w:ascii="宋体" w:hAnsi="宋体" w:eastAsia="宋体" w:cs="宋体"/>
          <w:kern w:val="0"/>
          <w:sz w:val="21"/>
          <w:szCs w:val="21"/>
          <w:highlight w:val="none"/>
        </w:rPr>
      </w:pPr>
      <w:r>
        <w:rPr>
          <w:rFonts w:hint="eastAsia" w:ascii="宋体" w:hAnsi="宋体" w:cs="宋体"/>
          <w:szCs w:val="21"/>
        </w:rPr>
        <w:t>★</w:t>
      </w:r>
      <w:r>
        <w:rPr>
          <w:rFonts w:hint="eastAsia"/>
          <w:lang w:val="zh-TW"/>
        </w:rPr>
        <w:t>注：供应商在响应文中提供</w:t>
      </w:r>
      <w:r>
        <w:rPr>
          <w:rFonts w:hint="eastAsia"/>
          <w:lang w:val="zh-TW" w:eastAsia="zh-CN"/>
        </w:rPr>
        <w:t>“</w:t>
      </w:r>
      <w:r>
        <w:rPr>
          <w:rFonts w:hint="eastAsia"/>
          <w:lang w:val="zh-TW"/>
        </w:rPr>
        <w:t>没有重大违法记录的声明</w:t>
      </w:r>
      <w:r>
        <w:rPr>
          <w:rFonts w:hint="eastAsia"/>
          <w:lang w:val="zh-TW" w:eastAsia="zh-CN"/>
        </w:rPr>
        <w:t>”。</w:t>
      </w:r>
    </w:p>
    <w:p>
      <w:pPr>
        <w:tabs>
          <w:tab w:val="left" w:pos="1080"/>
        </w:tabs>
        <w:spacing w:line="360" w:lineRule="auto"/>
        <w:ind w:firstLine="424" w:firstLineChars="200"/>
        <w:rPr>
          <w:rFonts w:hint="eastAsia" w:ascii="宋体" w:hAnsi="宋体" w:eastAsia="宋体" w:cs="宋体"/>
          <w:sz w:val="21"/>
          <w:szCs w:val="21"/>
          <w:highlight w:val="none"/>
        </w:rPr>
      </w:pPr>
      <w:r>
        <w:rPr>
          <w:rFonts w:hint="eastAsia" w:ascii="宋体" w:hAnsi="宋体" w:eastAsia="宋体" w:cs="宋体"/>
          <w:kern w:val="0"/>
          <w:sz w:val="21"/>
          <w:szCs w:val="21"/>
          <w:highlight w:val="none"/>
          <w:lang w:val="en-US" w:eastAsia="zh-CN"/>
        </w:rPr>
        <w:t>5</w:t>
      </w:r>
      <w:r>
        <w:rPr>
          <w:rFonts w:hint="eastAsia" w:ascii="宋体" w:hAnsi="宋体" w:eastAsia="宋体" w:cs="宋体"/>
          <w:kern w:val="0"/>
          <w:sz w:val="21"/>
          <w:szCs w:val="21"/>
          <w:highlight w:val="none"/>
        </w:rPr>
        <w:t>、</w:t>
      </w:r>
      <w:r>
        <w:rPr>
          <w:rFonts w:hint="eastAsia" w:ascii="宋体" w:hAnsi="宋体" w:eastAsia="宋体" w:cs="宋体"/>
          <w:sz w:val="21"/>
          <w:szCs w:val="21"/>
          <w:highlight w:val="none"/>
        </w:rPr>
        <w:t>小微企业声明函（响应供应商为小微企业且所投产品为小微企业生产，提供声明函的享受政府采购优惠）。</w:t>
      </w:r>
    </w:p>
    <w:p>
      <w:pPr>
        <w:widowControl/>
        <w:snapToGrid w:val="0"/>
        <w:spacing w:line="360" w:lineRule="auto"/>
        <w:ind w:firstLine="424"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注：</w:t>
      </w:r>
    </w:p>
    <w:p>
      <w:pPr>
        <w:widowControl/>
        <w:snapToGrid w:val="0"/>
        <w:spacing w:line="360" w:lineRule="auto"/>
        <w:ind w:firstLine="424"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(1)上述条件之一不满足者，将被视为其资格审查不合格，不得进入下一步的评审程序。</w:t>
      </w:r>
    </w:p>
    <w:p>
      <w:pPr>
        <w:widowControl/>
        <w:snapToGrid w:val="0"/>
        <w:spacing w:line="360" w:lineRule="auto"/>
        <w:ind w:firstLine="424"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(2)为保持评审工作的连续性，磋商小组对审查结果不作结论外任何解释和澄清。</w:t>
      </w:r>
    </w:p>
    <w:p>
      <w:pPr>
        <w:widowControl/>
        <w:snapToGrid w:val="0"/>
        <w:spacing w:line="360" w:lineRule="auto"/>
        <w:ind w:firstLine="424"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(3)供应商所报材料应真实有效并附相关佐证材料，在磋商时响应文件中装订原件、扫描件或复印件（加盖单位公章），否则其响应文件将被否决。</w:t>
      </w:r>
    </w:p>
    <w:p>
      <w:pPr>
        <w:widowControl/>
        <w:snapToGrid w:val="0"/>
        <w:spacing w:line="360" w:lineRule="auto"/>
        <w:ind w:firstLine="48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(4)供应商必须携带以上“资格证明及其他文件”中与响应文件书面材料一致的全部原件复印件</w:t>
      </w:r>
      <w:r>
        <w:rPr>
          <w:rFonts w:hint="eastAsia" w:ascii="宋体" w:hAnsi="宋体" w:eastAsia="宋体" w:cs="宋体"/>
          <w:color w:val="auto"/>
          <w:kern w:val="0"/>
          <w:sz w:val="21"/>
          <w:szCs w:val="21"/>
          <w:highlight w:val="none"/>
        </w:rPr>
        <w:t>（复印件加盖公章、原件备查）。</w:t>
      </w:r>
    </w:p>
    <w:p>
      <w:pPr>
        <w:widowControl/>
        <w:snapToGrid w:val="0"/>
        <w:spacing w:line="360" w:lineRule="auto"/>
        <w:ind w:firstLine="424"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（5）若为小微企业，除承诺外还需对应提供事实依据、法律依据，未提供具体依据或所提供依据专家无法判定真实性的供应商，其小微企业承诺以无效处理。</w:t>
      </w:r>
    </w:p>
    <w:p>
      <w:pPr>
        <w:widowControl/>
        <w:snapToGrid w:val="0"/>
        <w:spacing w:line="360" w:lineRule="auto"/>
        <w:jc w:val="left"/>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十一、响应文件附件的编制及编目</w:t>
      </w:r>
    </w:p>
    <w:p>
      <w:pPr>
        <w:spacing w:line="360" w:lineRule="auto"/>
        <w:ind w:firstLine="445" w:firstLineChars="210"/>
        <w:rPr>
          <w:rFonts w:hint="eastAsia" w:ascii="宋体" w:hAnsi="宋体" w:eastAsia="宋体" w:cs="宋体"/>
          <w:sz w:val="21"/>
          <w:szCs w:val="21"/>
          <w:highlight w:val="none"/>
        </w:rPr>
      </w:pPr>
      <w:r>
        <w:rPr>
          <w:rFonts w:hint="eastAsia" w:ascii="宋体" w:hAnsi="宋体" w:eastAsia="宋体" w:cs="宋体"/>
          <w:sz w:val="21"/>
          <w:szCs w:val="21"/>
          <w:highlight w:val="none"/>
        </w:rPr>
        <w:t>1、报价书附件由供应商自行编制，规格幅面应与正文一致，附于正文之后，与正文页码统一编目编码并将响应文件进行胶装。</w:t>
      </w:r>
    </w:p>
    <w:p>
      <w:pPr>
        <w:spacing w:line="360" w:lineRule="auto"/>
        <w:ind w:firstLine="445" w:firstLineChars="210"/>
        <w:rPr>
          <w:rFonts w:hint="eastAsia" w:ascii="宋体" w:hAnsi="宋体" w:eastAsia="宋体" w:cs="宋体"/>
          <w:sz w:val="21"/>
          <w:szCs w:val="21"/>
          <w:highlight w:val="none"/>
        </w:rPr>
      </w:pPr>
      <w:r>
        <w:rPr>
          <w:rFonts w:hint="eastAsia" w:ascii="宋体" w:hAnsi="宋体" w:eastAsia="宋体" w:cs="宋体"/>
          <w:sz w:val="21"/>
          <w:szCs w:val="21"/>
          <w:highlight w:val="none"/>
        </w:rPr>
        <w:t>2、报价书附件必须包含以下内容：</w:t>
      </w:r>
    </w:p>
    <w:p>
      <w:pPr>
        <w:spacing w:line="360" w:lineRule="auto"/>
        <w:ind w:firstLine="445" w:firstLineChars="210"/>
        <w:rPr>
          <w:rFonts w:hint="eastAsia" w:ascii="宋体" w:hAnsi="宋体" w:eastAsia="宋体" w:cs="宋体"/>
          <w:sz w:val="21"/>
          <w:szCs w:val="21"/>
          <w:highlight w:val="none"/>
        </w:rPr>
      </w:pPr>
      <w:r>
        <w:rPr>
          <w:rFonts w:hint="eastAsia" w:ascii="宋体" w:hAnsi="宋体" w:eastAsia="宋体" w:cs="宋体"/>
          <w:sz w:val="21"/>
          <w:szCs w:val="21"/>
          <w:highlight w:val="none"/>
        </w:rPr>
        <w:t>（1）产品主要技术参数明细表及报价表；</w:t>
      </w:r>
    </w:p>
    <w:p>
      <w:pPr>
        <w:spacing w:line="360" w:lineRule="auto"/>
        <w:ind w:firstLine="445" w:firstLineChars="210"/>
        <w:rPr>
          <w:rFonts w:hint="eastAsia" w:ascii="宋体" w:hAnsi="宋体" w:eastAsia="宋体" w:cs="宋体"/>
          <w:sz w:val="21"/>
          <w:szCs w:val="21"/>
          <w:highlight w:val="none"/>
        </w:rPr>
      </w:pPr>
      <w:r>
        <w:rPr>
          <w:rFonts w:hint="eastAsia" w:ascii="宋体" w:hAnsi="宋体" w:eastAsia="宋体" w:cs="宋体"/>
          <w:sz w:val="21"/>
          <w:szCs w:val="21"/>
          <w:highlight w:val="none"/>
        </w:rPr>
        <w:t>（2）技术服务和售后服务的内容及措施。</w:t>
      </w:r>
    </w:p>
    <w:p>
      <w:pPr>
        <w:spacing w:line="360" w:lineRule="auto"/>
        <w:ind w:firstLine="445" w:firstLineChars="210"/>
        <w:rPr>
          <w:rFonts w:hint="eastAsia" w:ascii="宋体" w:hAnsi="宋体" w:eastAsia="宋体" w:cs="宋体"/>
          <w:sz w:val="21"/>
          <w:szCs w:val="21"/>
          <w:highlight w:val="none"/>
        </w:rPr>
      </w:pPr>
      <w:r>
        <w:rPr>
          <w:rFonts w:hint="eastAsia" w:ascii="宋体" w:hAnsi="宋体" w:eastAsia="宋体" w:cs="宋体"/>
          <w:sz w:val="21"/>
          <w:szCs w:val="21"/>
          <w:highlight w:val="none"/>
        </w:rPr>
        <w:t>3、报价书附件可以包含以下内容：</w:t>
      </w:r>
    </w:p>
    <w:p>
      <w:pPr>
        <w:spacing w:line="360" w:lineRule="auto"/>
        <w:ind w:firstLine="445" w:firstLineChars="210"/>
        <w:rPr>
          <w:rFonts w:hint="eastAsia" w:ascii="宋体" w:hAnsi="宋体" w:eastAsia="宋体" w:cs="宋体"/>
          <w:sz w:val="21"/>
          <w:szCs w:val="21"/>
          <w:highlight w:val="none"/>
        </w:rPr>
      </w:pPr>
      <w:r>
        <w:rPr>
          <w:rFonts w:hint="eastAsia" w:ascii="宋体" w:hAnsi="宋体" w:eastAsia="宋体" w:cs="宋体"/>
          <w:sz w:val="21"/>
          <w:szCs w:val="21"/>
          <w:highlight w:val="none"/>
        </w:rPr>
        <w:t>(1)产品详细说明书（包括产品主要技术数据和性能的详细描述或提供产品样本）；</w:t>
      </w:r>
    </w:p>
    <w:p>
      <w:pPr>
        <w:spacing w:line="360" w:lineRule="auto"/>
        <w:ind w:firstLine="445" w:firstLineChars="210"/>
        <w:rPr>
          <w:rFonts w:hint="eastAsia" w:ascii="宋体" w:hAnsi="宋体" w:eastAsia="宋体" w:cs="宋体"/>
          <w:sz w:val="21"/>
          <w:szCs w:val="21"/>
          <w:highlight w:val="none"/>
        </w:rPr>
      </w:pPr>
      <w:r>
        <w:rPr>
          <w:rFonts w:hint="eastAsia" w:ascii="宋体" w:hAnsi="宋体" w:eastAsia="宋体" w:cs="宋体"/>
          <w:sz w:val="21"/>
          <w:szCs w:val="21"/>
          <w:highlight w:val="none"/>
        </w:rPr>
        <w:t>(2)产品制造、验收标准；</w:t>
      </w:r>
    </w:p>
    <w:p>
      <w:pPr>
        <w:spacing w:line="360" w:lineRule="auto"/>
        <w:ind w:firstLine="445" w:firstLineChars="210"/>
        <w:rPr>
          <w:rFonts w:hint="eastAsia" w:ascii="宋体" w:hAnsi="宋体" w:eastAsia="宋体" w:cs="宋体"/>
          <w:sz w:val="21"/>
          <w:szCs w:val="21"/>
          <w:highlight w:val="none"/>
        </w:rPr>
      </w:pPr>
      <w:r>
        <w:rPr>
          <w:rFonts w:hint="eastAsia" w:ascii="宋体" w:hAnsi="宋体" w:eastAsia="宋体" w:cs="宋体"/>
          <w:sz w:val="21"/>
          <w:szCs w:val="21"/>
          <w:highlight w:val="none"/>
        </w:rPr>
        <w:t>(3)详细的交货清单；</w:t>
      </w:r>
    </w:p>
    <w:p>
      <w:pPr>
        <w:spacing w:line="360" w:lineRule="auto"/>
        <w:ind w:firstLine="445" w:firstLineChars="210"/>
        <w:rPr>
          <w:rFonts w:hint="eastAsia" w:ascii="宋体" w:hAnsi="宋体" w:eastAsia="宋体" w:cs="宋体"/>
          <w:sz w:val="21"/>
          <w:szCs w:val="21"/>
          <w:highlight w:val="none"/>
        </w:rPr>
      </w:pPr>
      <w:r>
        <w:rPr>
          <w:rFonts w:hint="eastAsia" w:ascii="宋体" w:hAnsi="宋体" w:eastAsia="宋体" w:cs="宋体"/>
          <w:sz w:val="21"/>
          <w:szCs w:val="21"/>
          <w:highlight w:val="none"/>
        </w:rPr>
        <w:t>(4)特殊工具及备件清单；</w:t>
      </w:r>
    </w:p>
    <w:p>
      <w:pPr>
        <w:spacing w:line="360" w:lineRule="auto"/>
        <w:ind w:firstLine="445" w:firstLineChars="210"/>
        <w:rPr>
          <w:rFonts w:hint="eastAsia" w:ascii="宋体" w:hAnsi="宋体" w:eastAsia="宋体" w:cs="宋体"/>
          <w:sz w:val="21"/>
          <w:szCs w:val="21"/>
          <w:highlight w:val="none"/>
        </w:rPr>
      </w:pPr>
      <w:r>
        <w:rPr>
          <w:rFonts w:hint="eastAsia" w:ascii="宋体" w:hAnsi="宋体" w:eastAsia="宋体" w:cs="宋体"/>
          <w:sz w:val="21"/>
          <w:szCs w:val="21"/>
          <w:highlight w:val="none"/>
        </w:rPr>
        <w:t>(5)供应商推荐的供选择的配套货物表；</w:t>
      </w:r>
    </w:p>
    <w:p>
      <w:pPr>
        <w:spacing w:line="360" w:lineRule="auto"/>
        <w:ind w:firstLine="445" w:firstLineChars="210"/>
        <w:rPr>
          <w:rFonts w:hint="eastAsia" w:ascii="宋体" w:hAnsi="宋体" w:eastAsia="宋体" w:cs="宋体"/>
          <w:sz w:val="21"/>
          <w:szCs w:val="21"/>
          <w:highlight w:val="none"/>
        </w:rPr>
      </w:pPr>
      <w:r>
        <w:rPr>
          <w:rFonts w:hint="eastAsia" w:ascii="宋体" w:hAnsi="宋体" w:eastAsia="宋体" w:cs="宋体"/>
          <w:sz w:val="21"/>
          <w:szCs w:val="21"/>
          <w:highlight w:val="none"/>
        </w:rPr>
        <w:t>(6)提供报价所有辅助性材（资）料。</w:t>
      </w:r>
    </w:p>
    <w:p>
      <w:pPr>
        <w:widowControl/>
        <w:snapToGrid w:val="0"/>
        <w:spacing w:line="360" w:lineRule="auto"/>
        <w:jc w:val="left"/>
        <w:rPr>
          <w:rFonts w:hint="eastAsia" w:ascii="宋体" w:hAnsi="宋体" w:eastAsia="宋体" w:cs="宋体"/>
          <w:b/>
          <w:sz w:val="24"/>
          <w:szCs w:val="24"/>
          <w:highlight w:val="none"/>
        </w:rPr>
      </w:pPr>
      <w:r>
        <w:rPr>
          <w:rFonts w:hint="eastAsia" w:ascii="宋体" w:hAnsi="宋体" w:eastAsia="宋体" w:cs="宋体"/>
          <w:b/>
          <w:sz w:val="24"/>
          <w:szCs w:val="24"/>
          <w:highlight w:val="none"/>
        </w:rPr>
        <w:t>十二、报价</w:t>
      </w:r>
    </w:p>
    <w:p>
      <w:pPr>
        <w:snapToGrid w:val="0"/>
        <w:spacing w:line="360" w:lineRule="auto"/>
        <w:ind w:firstLine="461" w:firstLineChars="218"/>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1、所有价格均以人民币报价</w:t>
      </w:r>
      <w:r>
        <w:rPr>
          <w:rFonts w:hint="eastAsia" w:ascii="宋体" w:hAnsi="宋体" w:eastAsia="宋体" w:cs="宋体"/>
          <w:sz w:val="21"/>
          <w:szCs w:val="21"/>
          <w:highlight w:val="none"/>
          <w:lang w:val="en-US" w:eastAsia="zh-CN"/>
        </w:rPr>
        <w:t>。</w:t>
      </w:r>
    </w:p>
    <w:p>
      <w:pPr>
        <w:snapToGrid w:val="0"/>
        <w:spacing w:line="360" w:lineRule="auto"/>
        <w:ind w:firstLine="461" w:firstLineChars="218"/>
        <w:rPr>
          <w:rFonts w:hint="eastAsia" w:ascii="宋体" w:hAnsi="宋体" w:eastAsia="宋体" w:cs="宋体"/>
          <w:sz w:val="21"/>
          <w:szCs w:val="21"/>
          <w:highlight w:val="none"/>
        </w:rPr>
      </w:pPr>
      <w:r>
        <w:rPr>
          <w:rFonts w:hint="eastAsia" w:ascii="宋体" w:hAnsi="宋体" w:eastAsia="宋体" w:cs="宋体"/>
          <w:sz w:val="21"/>
          <w:szCs w:val="21"/>
          <w:highlight w:val="none"/>
        </w:rPr>
        <w:t>2、磋商报价分两次(特殊情况除外)，即初始报价（供应商递交的响应文件中的报价）及磋商结束后的最后报价（该报价将做为最后的成交价格）。</w:t>
      </w:r>
    </w:p>
    <w:p>
      <w:pPr>
        <w:snapToGrid w:val="0"/>
        <w:spacing w:line="360" w:lineRule="auto"/>
        <w:ind w:firstLine="461" w:firstLineChars="218"/>
        <w:rPr>
          <w:rFonts w:hint="eastAsia" w:ascii="宋体" w:hAnsi="宋体" w:eastAsia="宋体" w:cs="宋体"/>
          <w:sz w:val="21"/>
          <w:szCs w:val="21"/>
          <w:highlight w:val="none"/>
        </w:rPr>
      </w:pPr>
      <w:r>
        <w:rPr>
          <w:rFonts w:hint="eastAsia" w:ascii="宋体" w:hAnsi="宋体" w:eastAsia="宋体" w:cs="宋体"/>
          <w:sz w:val="21"/>
          <w:szCs w:val="21"/>
          <w:highlight w:val="none"/>
        </w:rPr>
        <w:t>3、具备初始报价,方有资格做第二次报价。</w:t>
      </w:r>
    </w:p>
    <w:p>
      <w:pPr>
        <w:snapToGrid w:val="0"/>
        <w:spacing w:line="360" w:lineRule="auto"/>
        <w:ind w:firstLine="461" w:firstLineChars="218"/>
        <w:rPr>
          <w:rFonts w:hint="eastAsia" w:ascii="宋体" w:hAnsi="宋体" w:eastAsia="宋体" w:cs="宋体"/>
          <w:sz w:val="21"/>
          <w:szCs w:val="21"/>
          <w:highlight w:val="none"/>
        </w:rPr>
      </w:pPr>
      <w:r>
        <w:rPr>
          <w:rFonts w:hint="eastAsia" w:ascii="宋体" w:hAnsi="宋体" w:eastAsia="宋体" w:cs="宋体"/>
          <w:sz w:val="21"/>
          <w:szCs w:val="21"/>
          <w:highlight w:val="none"/>
        </w:rPr>
        <w:t>4、最低报价不能作为成交的唯一保证。</w:t>
      </w:r>
    </w:p>
    <w:p>
      <w:pPr>
        <w:snapToGrid w:val="0"/>
        <w:spacing w:line="360" w:lineRule="auto"/>
        <w:ind w:firstLine="461" w:firstLineChars="218"/>
        <w:rPr>
          <w:rFonts w:hint="eastAsia" w:ascii="宋体" w:hAnsi="宋体" w:eastAsia="宋体" w:cs="宋体"/>
          <w:sz w:val="21"/>
          <w:szCs w:val="21"/>
          <w:highlight w:val="none"/>
        </w:rPr>
      </w:pPr>
      <w:r>
        <w:rPr>
          <w:rFonts w:hint="eastAsia" w:ascii="宋体" w:hAnsi="宋体" w:eastAsia="宋体" w:cs="宋体"/>
          <w:sz w:val="21"/>
          <w:szCs w:val="21"/>
          <w:highlight w:val="none"/>
        </w:rPr>
        <w:t>5、如供应商未按规定要求和时间递交最后报价，该供应商提交的磋商响应文件中的初始报价将作为其最后报价。</w:t>
      </w:r>
    </w:p>
    <w:p>
      <w:pPr>
        <w:snapToGrid w:val="0"/>
        <w:spacing w:line="360" w:lineRule="auto"/>
        <w:ind w:firstLine="461" w:firstLineChars="218"/>
        <w:rPr>
          <w:rFonts w:hint="eastAsia" w:ascii="宋体" w:hAnsi="宋体" w:eastAsia="宋体" w:cs="宋体"/>
          <w:sz w:val="21"/>
          <w:szCs w:val="21"/>
          <w:highlight w:val="none"/>
        </w:rPr>
      </w:pPr>
      <w:r>
        <w:rPr>
          <w:rFonts w:hint="eastAsia" w:ascii="宋体" w:hAnsi="宋体" w:eastAsia="宋体" w:cs="宋体"/>
          <w:sz w:val="21"/>
          <w:szCs w:val="21"/>
          <w:highlight w:val="none"/>
        </w:rPr>
        <w:t>6、超出预算金额的最后报价无效。</w:t>
      </w:r>
    </w:p>
    <w:p>
      <w:pPr>
        <w:widowControl/>
        <w:snapToGrid w:val="0"/>
        <w:spacing w:line="360" w:lineRule="auto"/>
        <w:jc w:val="left"/>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十三、响应文件的签署及规定</w:t>
      </w:r>
    </w:p>
    <w:p>
      <w:pPr>
        <w:spacing w:line="360" w:lineRule="auto"/>
        <w:ind w:firstLine="461" w:firstLineChars="218"/>
        <w:rPr>
          <w:rFonts w:hint="eastAsia" w:ascii="宋体" w:hAnsi="宋体" w:eastAsia="宋体" w:cs="宋体"/>
          <w:sz w:val="21"/>
          <w:szCs w:val="21"/>
          <w:highlight w:val="none"/>
        </w:rPr>
      </w:pPr>
      <w:r>
        <w:rPr>
          <w:rFonts w:hint="eastAsia" w:ascii="宋体" w:hAnsi="宋体" w:eastAsia="宋体" w:cs="宋体"/>
          <w:sz w:val="21"/>
          <w:szCs w:val="21"/>
          <w:highlight w:val="none"/>
        </w:rPr>
        <w:t>（一）组成响应文件的各项资料均遵守本条规定；</w:t>
      </w:r>
    </w:p>
    <w:p>
      <w:pPr>
        <w:spacing w:line="360" w:lineRule="auto"/>
        <w:ind w:firstLine="461" w:firstLineChars="218"/>
        <w:rPr>
          <w:rFonts w:hint="eastAsia" w:ascii="宋体" w:hAnsi="宋体" w:eastAsia="宋体" w:cs="宋体"/>
          <w:sz w:val="21"/>
          <w:szCs w:val="21"/>
          <w:highlight w:val="none"/>
        </w:rPr>
      </w:pPr>
      <w:r>
        <w:rPr>
          <w:rFonts w:hint="eastAsia" w:ascii="宋体" w:hAnsi="宋体" w:eastAsia="宋体" w:cs="宋体"/>
          <w:sz w:val="21"/>
          <w:szCs w:val="21"/>
          <w:highlight w:val="none"/>
        </w:rPr>
        <w:t>（二）响应文件应按规范格式编制、填写，并按要求签字、加盖公章；</w:t>
      </w:r>
    </w:p>
    <w:p>
      <w:pPr>
        <w:spacing w:line="360" w:lineRule="auto"/>
        <w:ind w:firstLine="461" w:firstLineChars="218"/>
        <w:rPr>
          <w:rFonts w:hint="eastAsia" w:ascii="宋体" w:hAnsi="宋体" w:eastAsia="宋体" w:cs="宋体"/>
          <w:sz w:val="21"/>
          <w:szCs w:val="21"/>
          <w:highlight w:val="none"/>
        </w:rPr>
      </w:pPr>
      <w:r>
        <w:rPr>
          <w:rFonts w:hint="eastAsia" w:ascii="宋体" w:hAnsi="宋体" w:eastAsia="宋体" w:cs="宋体"/>
          <w:sz w:val="21"/>
          <w:szCs w:val="21"/>
          <w:highlight w:val="none"/>
        </w:rPr>
        <w:t>（三）响应文件应装订成册，统一编制页码且页码连续；</w:t>
      </w:r>
    </w:p>
    <w:p>
      <w:pPr>
        <w:spacing w:line="360" w:lineRule="auto"/>
        <w:ind w:firstLine="461" w:firstLineChars="218"/>
        <w:rPr>
          <w:rFonts w:hint="eastAsia" w:ascii="宋体" w:hAnsi="宋体" w:eastAsia="宋体" w:cs="宋体"/>
          <w:sz w:val="21"/>
          <w:szCs w:val="21"/>
          <w:highlight w:val="none"/>
        </w:rPr>
      </w:pPr>
      <w:r>
        <w:rPr>
          <w:rFonts w:hint="eastAsia" w:ascii="宋体" w:hAnsi="宋体" w:eastAsia="宋体" w:cs="宋体"/>
          <w:sz w:val="21"/>
          <w:szCs w:val="21"/>
          <w:highlight w:val="none"/>
        </w:rPr>
        <w:t>（四）响应文件的正本必须用不退色的墨水填写或打印，注明“正本”字样。副本可以用复印件；（正本壹份、副本肆份）</w:t>
      </w:r>
    </w:p>
    <w:p>
      <w:pPr>
        <w:spacing w:line="360" w:lineRule="auto"/>
        <w:ind w:firstLine="461" w:firstLineChars="218"/>
        <w:rPr>
          <w:rFonts w:hint="eastAsia" w:ascii="宋体" w:hAnsi="宋体" w:eastAsia="宋体" w:cs="宋体"/>
          <w:sz w:val="21"/>
          <w:szCs w:val="21"/>
          <w:highlight w:val="none"/>
        </w:rPr>
      </w:pPr>
      <w:r>
        <w:rPr>
          <w:rFonts w:hint="eastAsia" w:ascii="宋体" w:hAnsi="宋体" w:eastAsia="宋体" w:cs="宋体"/>
          <w:sz w:val="21"/>
          <w:szCs w:val="21"/>
          <w:highlight w:val="none"/>
        </w:rPr>
        <w:t>（五）响应文件不得涂改和增删，如有修改错漏处，必须同一签署人签字并加盖公章；</w:t>
      </w:r>
    </w:p>
    <w:p>
      <w:pPr>
        <w:spacing w:line="360" w:lineRule="auto"/>
        <w:ind w:firstLine="461" w:firstLineChars="218"/>
        <w:rPr>
          <w:rFonts w:hint="eastAsia" w:ascii="宋体" w:hAnsi="宋体" w:eastAsia="宋体" w:cs="宋体"/>
          <w:sz w:val="21"/>
          <w:szCs w:val="21"/>
          <w:highlight w:val="none"/>
        </w:rPr>
      </w:pPr>
      <w:r>
        <w:rPr>
          <w:rFonts w:hint="eastAsia" w:ascii="宋体" w:hAnsi="宋体" w:eastAsia="宋体" w:cs="宋体"/>
          <w:sz w:val="21"/>
          <w:szCs w:val="21"/>
          <w:highlight w:val="none"/>
        </w:rPr>
        <w:t>（六）响应文件因字迹潦草或表达不清所引起的后果由供应商自行负责；</w:t>
      </w:r>
    </w:p>
    <w:p>
      <w:pPr>
        <w:spacing w:line="360" w:lineRule="auto"/>
        <w:ind w:firstLine="461" w:firstLineChars="218"/>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（七）法人代表授权书应由法定代表人签字并加盖公章</w:t>
      </w:r>
      <w:r>
        <w:rPr>
          <w:rFonts w:hint="eastAsia" w:ascii="宋体" w:hAnsi="宋体" w:eastAsia="宋体" w:cs="宋体"/>
          <w:sz w:val="21"/>
          <w:szCs w:val="21"/>
          <w:highlight w:val="none"/>
          <w:lang w:eastAsia="zh-CN"/>
        </w:rPr>
        <w:t>；</w:t>
      </w:r>
    </w:p>
    <w:p>
      <w:pPr>
        <w:spacing w:line="400" w:lineRule="exact"/>
        <w:ind w:firstLine="461" w:firstLineChars="218"/>
        <w:rPr>
          <w:rFonts w:hint="eastAsia" w:ascii="宋体" w:hAnsi="宋体"/>
          <w:color w:val="auto"/>
          <w:szCs w:val="21"/>
          <w:highlight w:val="none"/>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八</w:t>
      </w:r>
      <w:r>
        <w:rPr>
          <w:rFonts w:hint="eastAsia" w:ascii="宋体" w:hAnsi="宋体" w:eastAsia="宋体" w:cs="宋体"/>
          <w:sz w:val="21"/>
          <w:szCs w:val="21"/>
          <w:highlight w:val="none"/>
        </w:rPr>
        <w:t>）</w:t>
      </w:r>
      <w:r>
        <w:rPr>
          <w:rFonts w:hint="eastAsia" w:ascii="宋体" w:hAnsi="宋体"/>
          <w:color w:val="auto"/>
          <w:szCs w:val="21"/>
          <w:highlight w:val="none"/>
        </w:rPr>
        <w:t>供应商应将全部</w:t>
      </w:r>
      <w:r>
        <w:rPr>
          <w:rFonts w:hint="eastAsia" w:ascii="宋体" w:hAnsi="宋体"/>
          <w:color w:val="auto"/>
          <w:szCs w:val="21"/>
          <w:highlight w:val="none"/>
          <w:lang w:val="en-US" w:eastAsia="zh-CN"/>
        </w:rPr>
        <w:t>磋商</w:t>
      </w:r>
      <w:r>
        <w:rPr>
          <w:rFonts w:hint="eastAsia" w:ascii="宋体" w:hAnsi="宋体"/>
          <w:color w:val="auto"/>
          <w:szCs w:val="21"/>
          <w:highlight w:val="none"/>
        </w:rPr>
        <w:t>文件密封在一个密封袋中，密封袋封口处加盖单位公章或密封章，并在包封上标明如下标记：</w:t>
      </w:r>
    </w:p>
    <w:p>
      <w:pPr>
        <w:spacing w:line="400" w:lineRule="exact"/>
        <w:ind w:firstLine="461" w:firstLineChars="218"/>
        <w:rPr>
          <w:rFonts w:hint="eastAsia" w:ascii="宋体" w:hAnsi="宋体"/>
          <w:color w:val="auto"/>
          <w:szCs w:val="21"/>
          <w:highlight w:val="none"/>
        </w:rPr>
      </w:pPr>
      <w:r>
        <w:rPr>
          <w:rFonts w:hint="eastAsia" w:ascii="宋体" w:hAnsi="宋体"/>
          <w:color w:val="auto"/>
          <w:szCs w:val="21"/>
          <w:highlight w:val="none"/>
        </w:rPr>
        <w:t>（1）供应商名称；</w:t>
      </w:r>
    </w:p>
    <w:p>
      <w:pPr>
        <w:spacing w:line="400" w:lineRule="exact"/>
        <w:ind w:firstLine="461" w:firstLineChars="218"/>
        <w:rPr>
          <w:rFonts w:hint="eastAsia" w:ascii="宋体" w:hAnsi="宋体"/>
          <w:color w:val="auto"/>
          <w:szCs w:val="21"/>
          <w:highlight w:val="none"/>
        </w:rPr>
      </w:pPr>
      <w:r>
        <w:rPr>
          <w:rFonts w:hint="eastAsia" w:ascii="宋体" w:hAnsi="宋体"/>
          <w:color w:val="auto"/>
          <w:szCs w:val="21"/>
          <w:highlight w:val="none"/>
        </w:rPr>
        <w:t>（2）项目名称；</w:t>
      </w:r>
    </w:p>
    <w:p>
      <w:pPr>
        <w:spacing w:line="400" w:lineRule="exact"/>
        <w:ind w:firstLine="461" w:firstLineChars="218"/>
        <w:rPr>
          <w:rFonts w:hint="eastAsia" w:ascii="宋体" w:hAnsi="宋体"/>
          <w:color w:val="auto"/>
          <w:szCs w:val="21"/>
          <w:highlight w:val="none"/>
        </w:rPr>
      </w:pPr>
      <w:r>
        <w:rPr>
          <w:rFonts w:hint="eastAsia" w:ascii="宋体" w:hAnsi="宋体"/>
          <w:color w:val="auto"/>
          <w:szCs w:val="21"/>
          <w:highlight w:val="none"/>
        </w:rPr>
        <w:t>（3）采购编号；</w:t>
      </w:r>
    </w:p>
    <w:p>
      <w:pPr>
        <w:spacing w:line="400" w:lineRule="exact"/>
        <w:ind w:firstLine="461" w:firstLineChars="218"/>
        <w:rPr>
          <w:rFonts w:hint="eastAsia" w:ascii="宋体" w:hAnsi="宋体" w:eastAsiaTheme="minorEastAsia"/>
          <w:color w:val="auto"/>
          <w:szCs w:val="21"/>
          <w:highlight w:val="none"/>
          <w:lang w:eastAsia="zh-CN"/>
        </w:rPr>
      </w:pPr>
      <w:r>
        <w:rPr>
          <w:rFonts w:hint="eastAsia" w:ascii="宋体" w:hAnsi="宋体"/>
          <w:color w:val="auto"/>
          <w:szCs w:val="21"/>
          <w:highlight w:val="none"/>
        </w:rPr>
        <w:t>（4）</w:t>
      </w:r>
      <w:r>
        <w:rPr>
          <w:rFonts w:hint="eastAsia" w:ascii="宋体" w:hAnsi="宋体"/>
          <w:color w:val="auto"/>
          <w:szCs w:val="21"/>
          <w:highlight w:val="none"/>
          <w:lang w:val="en-US" w:eastAsia="zh-CN"/>
        </w:rPr>
        <w:t>磋商</w:t>
      </w:r>
      <w:r>
        <w:rPr>
          <w:rFonts w:hint="eastAsia" w:ascii="宋体" w:hAnsi="宋体"/>
          <w:color w:val="auto"/>
          <w:szCs w:val="21"/>
          <w:highlight w:val="none"/>
        </w:rPr>
        <w:t>时启封</w:t>
      </w:r>
      <w:r>
        <w:rPr>
          <w:rFonts w:hint="eastAsia" w:ascii="宋体" w:hAnsi="宋体"/>
          <w:color w:val="auto"/>
          <w:szCs w:val="21"/>
          <w:highlight w:val="none"/>
          <w:lang w:eastAsia="zh-CN"/>
        </w:rPr>
        <w:t>；</w:t>
      </w:r>
    </w:p>
    <w:p>
      <w:pPr>
        <w:spacing w:line="400" w:lineRule="exact"/>
        <w:ind w:firstLine="424" w:firstLineChars="200"/>
        <w:rPr>
          <w:rFonts w:hint="eastAsia" w:ascii="宋体" w:hAnsi="宋体" w:eastAsiaTheme="minorEastAsia"/>
          <w:color w:val="auto"/>
          <w:szCs w:val="21"/>
          <w:highlight w:val="none"/>
          <w:lang w:eastAsia="zh-CN"/>
        </w:rPr>
      </w:pP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九</w:t>
      </w:r>
      <w:r>
        <w:rPr>
          <w:rFonts w:hint="eastAsia" w:ascii="宋体" w:hAnsi="宋体" w:eastAsia="宋体" w:cs="宋体"/>
          <w:sz w:val="21"/>
          <w:szCs w:val="21"/>
          <w:highlight w:val="none"/>
        </w:rPr>
        <w:t>）</w:t>
      </w:r>
      <w:r>
        <w:rPr>
          <w:rFonts w:hint="eastAsia" w:ascii="宋体" w:hAnsi="宋体"/>
          <w:color w:val="auto"/>
          <w:szCs w:val="21"/>
          <w:highlight w:val="none"/>
        </w:rPr>
        <w:t>因密封不合格而导致的</w:t>
      </w:r>
      <w:r>
        <w:rPr>
          <w:rFonts w:hint="eastAsia" w:ascii="宋体" w:hAnsi="宋体"/>
          <w:color w:val="auto"/>
          <w:szCs w:val="21"/>
          <w:highlight w:val="none"/>
          <w:lang w:val="en-US" w:eastAsia="zh-CN"/>
        </w:rPr>
        <w:t>磋商</w:t>
      </w:r>
      <w:r>
        <w:rPr>
          <w:rFonts w:hint="eastAsia" w:ascii="宋体" w:hAnsi="宋体"/>
          <w:color w:val="auto"/>
          <w:szCs w:val="21"/>
          <w:highlight w:val="none"/>
        </w:rPr>
        <w:t>文件的遗失或提前启封后果由供应商负责</w:t>
      </w:r>
      <w:r>
        <w:rPr>
          <w:rFonts w:hint="eastAsia" w:ascii="宋体" w:hAnsi="宋体"/>
          <w:color w:val="auto"/>
          <w:szCs w:val="21"/>
          <w:highlight w:val="none"/>
          <w:lang w:eastAsia="zh-CN"/>
        </w:rPr>
        <w:t>；</w:t>
      </w:r>
    </w:p>
    <w:p>
      <w:pPr>
        <w:spacing w:line="400" w:lineRule="exact"/>
        <w:rPr>
          <w:rFonts w:hint="eastAsia" w:ascii="宋体" w:hAnsi="宋体" w:eastAsiaTheme="minorEastAsia"/>
          <w:color w:val="auto"/>
          <w:szCs w:val="21"/>
          <w:highlight w:val="none"/>
          <w:lang w:eastAsia="zh-CN"/>
        </w:rPr>
      </w:pPr>
      <w:r>
        <w:rPr>
          <w:rFonts w:hint="eastAsia" w:ascii="宋体" w:hAnsi="宋体"/>
          <w:color w:val="auto"/>
          <w:szCs w:val="21"/>
          <w:highlight w:val="none"/>
        </w:rPr>
        <w:t xml:space="preserve">   </w:t>
      </w:r>
      <w:r>
        <w:rPr>
          <w:rFonts w:hint="eastAsia" w:ascii="宋体" w:hAnsi="宋体"/>
          <w:color w:val="auto"/>
          <w:szCs w:val="21"/>
          <w:highlight w:val="none"/>
          <w:lang w:val="en-US" w:eastAsia="zh-CN"/>
        </w:rPr>
        <w:t xml:space="preserve"> </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en-US" w:eastAsia="zh-CN"/>
        </w:rPr>
        <w:t>十</w:t>
      </w:r>
      <w:r>
        <w:rPr>
          <w:rFonts w:hint="eastAsia" w:ascii="宋体" w:hAnsi="宋体" w:eastAsia="宋体" w:cs="宋体"/>
          <w:sz w:val="21"/>
          <w:szCs w:val="21"/>
          <w:highlight w:val="none"/>
        </w:rPr>
        <w:t>）</w:t>
      </w:r>
      <w:r>
        <w:rPr>
          <w:rFonts w:hint="eastAsia" w:ascii="宋体" w:hAnsi="宋体" w:eastAsia="宋体"/>
          <w:b/>
          <w:color w:val="auto"/>
          <w:szCs w:val="21"/>
          <w:highlight w:val="none"/>
          <w:lang w:val="en-US" w:eastAsia="zh-CN"/>
        </w:rPr>
        <w:t>磋商</w:t>
      </w:r>
      <w:r>
        <w:rPr>
          <w:rFonts w:hint="eastAsia" w:ascii="宋体" w:hAnsi="宋体"/>
          <w:b/>
          <w:color w:val="auto"/>
          <w:szCs w:val="21"/>
          <w:highlight w:val="none"/>
        </w:rPr>
        <w:t>文件必须胶装，严禁用活页装订，否则其</w:t>
      </w:r>
      <w:r>
        <w:rPr>
          <w:rFonts w:hint="eastAsia" w:ascii="宋体" w:hAnsi="宋体"/>
          <w:b/>
          <w:color w:val="auto"/>
          <w:szCs w:val="21"/>
          <w:highlight w:val="none"/>
          <w:lang w:val="en-US" w:eastAsia="zh-CN"/>
        </w:rPr>
        <w:t>磋商</w:t>
      </w:r>
      <w:r>
        <w:rPr>
          <w:rFonts w:hint="eastAsia" w:ascii="宋体" w:hAnsi="宋体"/>
          <w:b/>
          <w:color w:val="auto"/>
          <w:szCs w:val="21"/>
          <w:highlight w:val="none"/>
        </w:rPr>
        <w:t>文件将被拒绝</w:t>
      </w:r>
      <w:r>
        <w:rPr>
          <w:rFonts w:hint="eastAsia" w:ascii="宋体" w:hAnsi="宋体"/>
          <w:b/>
          <w:color w:val="auto"/>
          <w:szCs w:val="21"/>
          <w:highlight w:val="none"/>
          <w:lang w:eastAsia="zh-CN"/>
        </w:rPr>
        <w:t>；</w:t>
      </w:r>
    </w:p>
    <w:p>
      <w:pPr>
        <w:pStyle w:val="2"/>
        <w:ind w:left="0" w:leftChars="0" w:firstLine="0" w:firstLineChars="0"/>
        <w:rPr>
          <w:rFonts w:hint="eastAsia"/>
        </w:rPr>
      </w:pPr>
    </w:p>
    <w:p>
      <w:pPr>
        <w:snapToGrid w:val="0"/>
        <w:spacing w:line="360" w:lineRule="auto"/>
        <w:rPr>
          <w:rFonts w:hint="eastAsia" w:ascii="宋体" w:hAnsi="宋体" w:eastAsia="宋体" w:cs="宋体"/>
          <w:b/>
          <w:bCs/>
          <w:color w:val="000000"/>
          <w:sz w:val="24"/>
          <w:szCs w:val="24"/>
          <w:highlight w:val="none"/>
          <w:lang w:val="zh-CN"/>
        </w:rPr>
      </w:pPr>
      <w:r>
        <w:rPr>
          <w:rFonts w:hint="eastAsia" w:ascii="宋体" w:hAnsi="宋体" w:eastAsia="宋体" w:cs="宋体"/>
          <w:b/>
          <w:bCs/>
          <w:sz w:val="24"/>
          <w:szCs w:val="24"/>
          <w:highlight w:val="none"/>
        </w:rPr>
        <w:t>十四、</w:t>
      </w:r>
      <w:r>
        <w:rPr>
          <w:rFonts w:hint="eastAsia" w:ascii="宋体" w:hAnsi="宋体" w:eastAsia="宋体" w:cs="宋体"/>
          <w:b/>
          <w:bCs/>
          <w:color w:val="000000"/>
          <w:sz w:val="24"/>
          <w:szCs w:val="24"/>
          <w:highlight w:val="none"/>
          <w:lang w:val="zh-CN"/>
        </w:rPr>
        <w:t>技术参数条款出现下列情况之一条款的，响应文件无效：</w:t>
      </w:r>
    </w:p>
    <w:p>
      <w:pPr>
        <w:autoSpaceDE w:val="0"/>
        <w:autoSpaceDN w:val="0"/>
        <w:adjustRightInd w:val="0"/>
        <w:spacing w:line="360" w:lineRule="auto"/>
        <w:ind w:firstLine="530" w:firstLineChars="250"/>
        <w:rPr>
          <w:rFonts w:hint="eastAsia" w:ascii="宋体" w:hAnsi="宋体" w:eastAsia="宋体" w:cs="宋体"/>
          <w:bCs/>
          <w:color w:val="000000"/>
          <w:sz w:val="21"/>
          <w:szCs w:val="21"/>
          <w:highlight w:val="none"/>
          <w:lang w:val="zh-CN"/>
        </w:rPr>
      </w:pPr>
      <w:r>
        <w:rPr>
          <w:rFonts w:hint="eastAsia" w:ascii="宋体" w:hAnsi="宋体" w:eastAsia="宋体" w:cs="宋体"/>
          <w:bCs/>
          <w:color w:val="000000"/>
          <w:sz w:val="21"/>
          <w:szCs w:val="21"/>
          <w:highlight w:val="none"/>
          <w:lang w:val="zh-CN"/>
        </w:rPr>
        <w:t>1、供应商提报的技术参数中须明确品牌、型号、规格、配置等，否则响应文件将被否决；</w:t>
      </w:r>
    </w:p>
    <w:p>
      <w:pPr>
        <w:autoSpaceDE w:val="0"/>
        <w:autoSpaceDN w:val="0"/>
        <w:adjustRightInd w:val="0"/>
        <w:spacing w:line="360" w:lineRule="auto"/>
        <w:ind w:firstLine="530" w:firstLineChars="250"/>
        <w:rPr>
          <w:rFonts w:hint="eastAsia" w:ascii="宋体" w:hAnsi="宋体" w:eastAsia="宋体" w:cs="宋体"/>
          <w:bCs/>
          <w:color w:val="000000"/>
          <w:sz w:val="21"/>
          <w:szCs w:val="21"/>
          <w:highlight w:val="none"/>
          <w:lang w:val="zh-CN"/>
        </w:rPr>
      </w:pPr>
      <w:r>
        <w:rPr>
          <w:rFonts w:hint="eastAsia" w:ascii="宋体" w:hAnsi="宋体" w:eastAsia="宋体" w:cs="宋体"/>
          <w:bCs/>
          <w:color w:val="000000"/>
          <w:sz w:val="21"/>
          <w:szCs w:val="21"/>
          <w:highlight w:val="none"/>
          <w:lang w:val="zh-CN"/>
        </w:rPr>
        <w:t>2、经磋商小组认定供应商未按实际技术参数作应答，而是完全复制竞争性磋商文件技术要求相关内容作为其技术参数一部分的，响应文件无效；</w:t>
      </w:r>
    </w:p>
    <w:p>
      <w:pPr>
        <w:autoSpaceDE w:val="0"/>
        <w:autoSpaceDN w:val="0"/>
        <w:adjustRightInd w:val="0"/>
        <w:spacing w:line="360" w:lineRule="auto"/>
        <w:ind w:firstLine="530" w:firstLineChars="250"/>
        <w:rPr>
          <w:rFonts w:hint="eastAsia" w:ascii="宋体" w:hAnsi="宋体" w:eastAsia="宋体" w:cs="宋体"/>
          <w:bCs/>
          <w:color w:val="000000"/>
          <w:sz w:val="21"/>
          <w:szCs w:val="21"/>
          <w:highlight w:val="none"/>
          <w:lang w:val="zh-CN"/>
        </w:rPr>
      </w:pPr>
      <w:r>
        <w:rPr>
          <w:rFonts w:hint="eastAsia" w:ascii="宋体" w:hAnsi="宋体" w:eastAsia="宋体" w:cs="宋体"/>
          <w:bCs/>
          <w:color w:val="000000"/>
          <w:sz w:val="21"/>
          <w:szCs w:val="21"/>
          <w:highlight w:val="none"/>
          <w:lang w:val="zh-CN"/>
        </w:rPr>
        <w:t>3、供应商所提报的技术参数应如实填写，并按“竞争性磋商文件技术要求”逐项应答，如简单填写“响应或完全响应”的，响应文件无效。</w:t>
      </w:r>
    </w:p>
    <w:p>
      <w:pPr>
        <w:autoSpaceDE w:val="0"/>
        <w:autoSpaceDN w:val="0"/>
        <w:adjustRightInd w:val="0"/>
        <w:spacing w:line="360" w:lineRule="auto"/>
        <w:ind w:firstLine="530" w:firstLineChars="250"/>
        <w:rPr>
          <w:rFonts w:hint="eastAsia" w:ascii="宋体" w:hAnsi="宋体" w:eastAsia="宋体" w:cs="宋体"/>
          <w:bCs/>
          <w:sz w:val="21"/>
          <w:szCs w:val="21"/>
          <w:highlight w:val="none"/>
          <w:lang w:val="zh-CN"/>
        </w:rPr>
      </w:pPr>
      <w:r>
        <w:rPr>
          <w:rFonts w:hint="default" w:ascii="宋体" w:hAnsi="宋体" w:eastAsia="宋体" w:cs="宋体"/>
          <w:bCs/>
          <w:kern w:val="0"/>
          <w:sz w:val="21"/>
          <w:szCs w:val="21"/>
          <w:highlight w:val="none"/>
          <w:lang w:val="en-US"/>
        </w:rPr>
        <w:t>4</w:t>
      </w:r>
      <w:r>
        <w:rPr>
          <w:rFonts w:hint="eastAsia" w:ascii="宋体" w:hAnsi="宋体" w:eastAsia="宋体" w:cs="宋体"/>
          <w:bCs/>
          <w:kern w:val="0"/>
          <w:sz w:val="21"/>
          <w:szCs w:val="21"/>
          <w:highlight w:val="none"/>
        </w:rPr>
        <w:t>、</w:t>
      </w:r>
      <w:r>
        <w:rPr>
          <w:rFonts w:hint="eastAsia" w:ascii="宋体" w:hAnsi="宋体" w:eastAsia="宋体" w:cs="宋体"/>
          <w:bCs/>
          <w:sz w:val="21"/>
          <w:szCs w:val="21"/>
          <w:highlight w:val="none"/>
        </w:rPr>
        <w:t>经磋商小组认定供应商未按实际技术参数作应答，而是完全复制竞争性磋商文件技术要求相关内容作为其技术参数一部分的，响应文件无效。</w:t>
      </w:r>
    </w:p>
    <w:p>
      <w:pPr>
        <w:snapToGrid w:val="0"/>
        <w:spacing w:line="360" w:lineRule="auto"/>
        <w:rPr>
          <w:rFonts w:hint="eastAsia" w:ascii="宋体" w:hAnsi="宋体" w:eastAsia="宋体" w:cs="宋体"/>
          <w:b/>
          <w:sz w:val="24"/>
          <w:szCs w:val="24"/>
          <w:highlight w:val="none"/>
        </w:rPr>
      </w:pPr>
      <w:r>
        <w:rPr>
          <w:rFonts w:hint="eastAsia" w:ascii="宋体" w:hAnsi="宋体" w:eastAsia="宋体" w:cs="宋体"/>
          <w:b/>
          <w:bCs/>
          <w:sz w:val="24"/>
          <w:szCs w:val="24"/>
          <w:highlight w:val="none"/>
          <w:lang w:val="zh-CN"/>
        </w:rPr>
        <w:t>十五、</w:t>
      </w:r>
      <w:r>
        <w:rPr>
          <w:rFonts w:hint="eastAsia" w:ascii="宋体" w:hAnsi="宋体" w:eastAsia="宋体" w:cs="宋体"/>
          <w:b/>
          <w:spacing w:val="-2"/>
          <w:sz w:val="24"/>
          <w:szCs w:val="24"/>
          <w:highlight w:val="none"/>
        </w:rPr>
        <w:t>供应商出现下列情况之一的响应文件无效</w:t>
      </w:r>
      <w:r>
        <w:rPr>
          <w:rFonts w:hint="eastAsia" w:ascii="宋体" w:hAnsi="宋体" w:eastAsia="宋体" w:cs="宋体"/>
          <w:b/>
          <w:sz w:val="24"/>
          <w:szCs w:val="24"/>
          <w:highlight w:val="none"/>
        </w:rPr>
        <w:t>：</w:t>
      </w:r>
    </w:p>
    <w:p>
      <w:pPr>
        <w:pStyle w:val="31"/>
        <w:spacing w:line="360" w:lineRule="auto"/>
        <w:ind w:firstLine="476" w:firstLineChars="225"/>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rPr>
        <w:t>1、</w:t>
      </w:r>
      <w:r>
        <w:rPr>
          <w:rFonts w:hint="eastAsia" w:ascii="宋体" w:hAnsi="宋体" w:cs="宋体"/>
          <w:sz w:val="21"/>
          <w:szCs w:val="21"/>
        </w:rPr>
        <w:t>标注★的</w:t>
      </w:r>
      <w:r>
        <w:rPr>
          <w:rFonts w:hint="eastAsia" w:ascii="宋体" w:hAnsi="宋体" w:cs="宋体"/>
          <w:sz w:val="21"/>
          <w:szCs w:val="21"/>
          <w:lang w:eastAsia="zh-CN"/>
        </w:rPr>
        <w:t>条款</w:t>
      </w:r>
      <w:r>
        <w:rPr>
          <w:rFonts w:hint="eastAsia" w:ascii="宋体" w:hAnsi="宋体" w:cs="宋体"/>
          <w:sz w:val="21"/>
          <w:szCs w:val="21"/>
        </w:rPr>
        <w:t>如偏离，则响应文件无效；</w:t>
      </w:r>
      <w:r>
        <w:rPr>
          <w:rFonts w:hint="eastAsia" w:ascii="宋体" w:hAnsi="宋体" w:cs="宋体"/>
          <w:bCs/>
          <w:color w:val="000000"/>
          <w:sz w:val="21"/>
          <w:szCs w:val="21"/>
          <w:lang w:val="zh-CN"/>
        </w:rPr>
        <w:t>非</w:t>
      </w:r>
      <w:r>
        <w:rPr>
          <w:rFonts w:hint="eastAsia" w:ascii="宋体" w:hAnsi="宋体" w:cs="宋体"/>
          <w:kern w:val="0"/>
          <w:sz w:val="21"/>
          <w:szCs w:val="21"/>
        </w:rPr>
        <w:t>★</w:t>
      </w:r>
      <w:r>
        <w:rPr>
          <w:rFonts w:hint="eastAsia" w:ascii="宋体" w:hAnsi="宋体" w:cs="宋体"/>
          <w:bCs/>
          <w:color w:val="000000"/>
          <w:sz w:val="21"/>
          <w:szCs w:val="21"/>
          <w:lang w:val="zh-CN"/>
        </w:rPr>
        <w:t>条款有重大偏离经评审专家认定无法满足竞争性磋商文件需求的</w:t>
      </w:r>
      <w:r>
        <w:rPr>
          <w:rFonts w:hint="eastAsia" w:ascii="宋体" w:hAnsi="宋体" w:eastAsia="宋体" w:cs="宋体"/>
          <w:sz w:val="21"/>
          <w:szCs w:val="21"/>
          <w:highlight w:val="none"/>
        </w:rPr>
        <w:t>；</w:t>
      </w:r>
    </w:p>
    <w:p>
      <w:pPr>
        <w:pStyle w:val="31"/>
        <w:spacing w:line="360" w:lineRule="auto"/>
        <w:ind w:firstLine="476" w:firstLineChars="225"/>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2</w:t>
      </w:r>
      <w:r>
        <w:rPr>
          <w:rFonts w:hint="eastAsia" w:ascii="宋体" w:hAnsi="宋体" w:eastAsia="宋体" w:cs="宋体"/>
          <w:sz w:val="21"/>
          <w:szCs w:val="21"/>
          <w:highlight w:val="none"/>
        </w:rPr>
        <w:t>、超出经营范围的；</w:t>
      </w:r>
    </w:p>
    <w:p>
      <w:pPr>
        <w:pStyle w:val="31"/>
        <w:spacing w:line="360" w:lineRule="auto"/>
        <w:ind w:firstLine="476" w:firstLineChars="225"/>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3</w:t>
      </w:r>
      <w:r>
        <w:rPr>
          <w:rFonts w:hint="eastAsia" w:ascii="宋体" w:hAnsi="宋体" w:eastAsia="宋体" w:cs="宋体"/>
          <w:sz w:val="21"/>
          <w:szCs w:val="21"/>
          <w:highlight w:val="none"/>
        </w:rPr>
        <w:t>、未按要求签字、盖章的；</w:t>
      </w:r>
    </w:p>
    <w:p>
      <w:pPr>
        <w:pStyle w:val="31"/>
        <w:spacing w:line="360" w:lineRule="auto"/>
        <w:ind w:firstLine="476" w:firstLineChars="225"/>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4</w:t>
      </w:r>
      <w:r>
        <w:rPr>
          <w:rFonts w:hint="eastAsia" w:ascii="宋体" w:hAnsi="宋体" w:eastAsia="宋体" w:cs="宋体"/>
          <w:sz w:val="21"/>
          <w:szCs w:val="21"/>
          <w:highlight w:val="none"/>
        </w:rPr>
        <w:t>、提供虚假材料的；（提供虚假材料进行报价、应答的，还将移交监管部门依法处理）</w:t>
      </w:r>
    </w:p>
    <w:p>
      <w:pPr>
        <w:pStyle w:val="31"/>
        <w:spacing w:line="360" w:lineRule="auto"/>
        <w:ind w:firstLine="476" w:firstLineChars="225"/>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5</w:t>
      </w:r>
      <w:r>
        <w:rPr>
          <w:rFonts w:hint="eastAsia" w:ascii="宋体" w:hAnsi="宋体" w:eastAsia="宋体" w:cs="宋体"/>
          <w:sz w:val="21"/>
          <w:szCs w:val="21"/>
          <w:highlight w:val="none"/>
        </w:rPr>
        <w:t>、技术参数与所提供的技术证明文件不一致的；</w:t>
      </w:r>
    </w:p>
    <w:p>
      <w:pPr>
        <w:pStyle w:val="31"/>
        <w:spacing w:line="360" w:lineRule="auto"/>
        <w:ind w:firstLine="476" w:firstLineChars="225"/>
        <w:rPr>
          <w:rFonts w:hint="eastAsia" w:ascii="宋体" w:hAnsi="宋体" w:eastAsia="宋体" w:cs="宋体"/>
          <w:bCs/>
          <w:sz w:val="21"/>
          <w:szCs w:val="21"/>
          <w:highlight w:val="none"/>
        </w:rPr>
      </w:pPr>
      <w:r>
        <w:rPr>
          <w:rFonts w:hint="eastAsia" w:ascii="宋体" w:hAnsi="宋体" w:cs="宋体"/>
          <w:bCs/>
          <w:sz w:val="21"/>
          <w:szCs w:val="21"/>
          <w:highlight w:val="none"/>
          <w:lang w:val="en-US" w:eastAsia="zh-CN"/>
        </w:rPr>
        <w:t>6</w:t>
      </w:r>
      <w:r>
        <w:rPr>
          <w:rFonts w:hint="eastAsia" w:ascii="宋体" w:hAnsi="宋体" w:eastAsia="宋体" w:cs="宋体"/>
          <w:bCs/>
          <w:sz w:val="21"/>
          <w:szCs w:val="21"/>
          <w:highlight w:val="none"/>
        </w:rPr>
        <w:t>、所报项目在实际运行中，其使用成本过高、使用条件苛刻(需经磋商小组确定)不能被采购人接受的；</w:t>
      </w:r>
    </w:p>
    <w:p>
      <w:pPr>
        <w:pStyle w:val="31"/>
        <w:spacing w:line="360" w:lineRule="auto"/>
        <w:ind w:firstLine="476" w:firstLineChars="225"/>
        <w:rPr>
          <w:rFonts w:hint="eastAsia" w:ascii="宋体" w:hAnsi="宋体" w:eastAsia="宋体" w:cs="宋体"/>
          <w:bCs/>
          <w:sz w:val="21"/>
          <w:szCs w:val="21"/>
          <w:highlight w:val="none"/>
        </w:rPr>
      </w:pPr>
      <w:r>
        <w:rPr>
          <w:rFonts w:hint="eastAsia" w:ascii="宋体" w:hAnsi="宋体" w:cs="宋体"/>
          <w:bCs/>
          <w:sz w:val="21"/>
          <w:szCs w:val="21"/>
          <w:highlight w:val="none"/>
          <w:lang w:val="en-US" w:eastAsia="zh-CN"/>
        </w:rPr>
        <w:t>7</w:t>
      </w:r>
      <w:r>
        <w:rPr>
          <w:rFonts w:hint="eastAsia" w:ascii="宋体" w:hAnsi="宋体" w:eastAsia="宋体" w:cs="宋体"/>
          <w:bCs/>
          <w:sz w:val="21"/>
          <w:szCs w:val="21"/>
          <w:highlight w:val="none"/>
        </w:rPr>
        <w:t>、法定代表人授权书无法定代表人签字或没有加盖公章的；</w:t>
      </w:r>
    </w:p>
    <w:p>
      <w:pPr>
        <w:pStyle w:val="31"/>
        <w:spacing w:line="360" w:lineRule="auto"/>
        <w:ind w:firstLine="476" w:firstLineChars="225"/>
        <w:rPr>
          <w:rFonts w:hint="eastAsia" w:ascii="宋体" w:hAnsi="宋体" w:eastAsia="宋体" w:cs="宋体"/>
          <w:spacing w:val="-20"/>
          <w:sz w:val="21"/>
          <w:szCs w:val="21"/>
          <w:highlight w:val="none"/>
        </w:rPr>
      </w:pPr>
      <w:r>
        <w:rPr>
          <w:rFonts w:hint="eastAsia" w:ascii="宋体" w:hAnsi="宋体" w:cs="宋体"/>
          <w:sz w:val="21"/>
          <w:szCs w:val="21"/>
          <w:highlight w:val="none"/>
          <w:lang w:val="en-US" w:eastAsia="zh-CN"/>
        </w:rPr>
        <w:t>8</w:t>
      </w:r>
      <w:r>
        <w:rPr>
          <w:rFonts w:hint="eastAsia" w:ascii="宋体" w:hAnsi="宋体" w:eastAsia="宋体" w:cs="宋体"/>
          <w:sz w:val="21"/>
          <w:szCs w:val="21"/>
          <w:highlight w:val="none"/>
        </w:rPr>
        <w:t>、</w:t>
      </w:r>
      <w:r>
        <w:rPr>
          <w:rFonts w:hint="eastAsia" w:ascii="宋体" w:hAnsi="宋体" w:eastAsia="宋体" w:cs="宋体"/>
          <w:bCs/>
          <w:sz w:val="21"/>
          <w:szCs w:val="21"/>
          <w:highlight w:val="none"/>
        </w:rPr>
        <w:t>参加政府采购活动前三年内（即提交竞争性磋商首次响应文件截止时间前三年内）有重大违法失信记录的；</w:t>
      </w:r>
    </w:p>
    <w:p>
      <w:pPr>
        <w:pStyle w:val="31"/>
        <w:spacing w:line="360" w:lineRule="auto"/>
        <w:ind w:firstLine="476" w:firstLineChars="225"/>
        <w:rPr>
          <w:rFonts w:hint="eastAsia" w:ascii="宋体" w:hAnsi="宋体" w:eastAsia="宋体" w:cs="宋体"/>
          <w:spacing w:val="-20"/>
          <w:sz w:val="21"/>
          <w:szCs w:val="21"/>
          <w:highlight w:val="none"/>
        </w:rPr>
      </w:pPr>
      <w:r>
        <w:rPr>
          <w:rFonts w:hint="eastAsia" w:ascii="宋体" w:hAnsi="宋体" w:cs="宋体"/>
          <w:sz w:val="21"/>
          <w:szCs w:val="21"/>
          <w:highlight w:val="none"/>
          <w:lang w:val="en-US" w:eastAsia="zh-CN"/>
        </w:rPr>
        <w:t>9</w:t>
      </w:r>
      <w:r>
        <w:rPr>
          <w:rFonts w:hint="eastAsia" w:ascii="宋体" w:hAnsi="宋体" w:eastAsia="宋体" w:cs="宋体"/>
          <w:sz w:val="21"/>
          <w:szCs w:val="21"/>
          <w:highlight w:val="none"/>
        </w:rPr>
        <w:t>、</w:t>
      </w:r>
      <w:r>
        <w:rPr>
          <w:rFonts w:hint="eastAsia" w:ascii="宋体" w:hAnsi="宋体" w:eastAsia="宋体" w:cs="宋体"/>
          <w:spacing w:val="-2"/>
          <w:sz w:val="21"/>
          <w:szCs w:val="21"/>
          <w:highlight w:val="none"/>
        </w:rPr>
        <w:t>供应商</w:t>
      </w:r>
      <w:r>
        <w:rPr>
          <w:rFonts w:hint="eastAsia" w:ascii="宋体" w:hAnsi="宋体" w:eastAsia="宋体" w:cs="宋体"/>
          <w:sz w:val="21"/>
          <w:szCs w:val="21"/>
          <w:highlight w:val="none"/>
        </w:rPr>
        <w:t>对采购人、采购代理机构、磋商小组及其工作人员施加影响，有碍评审公平、公正的；</w:t>
      </w:r>
    </w:p>
    <w:p>
      <w:pPr>
        <w:pStyle w:val="31"/>
        <w:spacing w:line="360" w:lineRule="auto"/>
        <w:ind w:firstLine="476" w:firstLineChars="225"/>
        <w:rPr>
          <w:rFonts w:hint="eastAsia" w:ascii="宋体" w:hAnsi="宋体" w:eastAsia="宋体" w:cs="宋体"/>
          <w:sz w:val="21"/>
          <w:szCs w:val="21"/>
          <w:highlight w:val="none"/>
        </w:rPr>
      </w:pPr>
      <w:r>
        <w:rPr>
          <w:rFonts w:hint="eastAsia" w:ascii="宋体" w:hAnsi="宋体" w:cs="宋体"/>
          <w:bCs/>
          <w:color w:val="000000"/>
          <w:sz w:val="21"/>
          <w:szCs w:val="21"/>
          <w:highlight w:val="none"/>
          <w:lang w:val="en-US" w:eastAsia="zh-CN"/>
        </w:rPr>
        <w:t>10</w:t>
      </w:r>
      <w:r>
        <w:rPr>
          <w:rFonts w:hint="eastAsia" w:ascii="宋体" w:hAnsi="宋体" w:eastAsia="宋体" w:cs="宋体"/>
          <w:bCs/>
          <w:color w:val="000000"/>
          <w:sz w:val="21"/>
          <w:szCs w:val="21"/>
          <w:highlight w:val="none"/>
          <w:lang w:val="zh-CN"/>
        </w:rPr>
        <w:t>、</w:t>
      </w:r>
      <w:r>
        <w:rPr>
          <w:rFonts w:hint="eastAsia" w:ascii="宋体" w:hAnsi="宋体" w:eastAsia="宋体" w:cs="宋体"/>
          <w:sz w:val="21"/>
          <w:szCs w:val="21"/>
          <w:highlight w:val="none"/>
        </w:rPr>
        <w:t>磋商小组认为，排在前面的入围候选供应商的报价明显不合理或者低于成本，有可能影响商品质量和不能诚信履约的，应当要求该供应商作出书面说明并提供相关证明材料，否则，磋商小组可以取消该供应商的成交候选资格，按顺序由排在后面的成交候选供应商递补。</w:t>
      </w:r>
    </w:p>
    <w:p>
      <w:pPr>
        <w:spacing w:line="360" w:lineRule="auto"/>
        <w:ind w:firstLine="424"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11</w:t>
      </w:r>
      <w:r>
        <w:rPr>
          <w:rFonts w:hint="eastAsia" w:ascii="宋体" w:hAnsi="宋体" w:eastAsia="宋体" w:cs="宋体"/>
          <w:sz w:val="21"/>
          <w:szCs w:val="21"/>
          <w:highlight w:val="none"/>
        </w:rPr>
        <w:t>、供应商提供的企业资质证书、从业人员资格证书、认证证书等信息必须与公开信息一致，在公开信息中查询不到或不一致的，供应商应在响应文件中提供发证机构出具的证明函，未提供证明函的响应文件无效。</w:t>
      </w:r>
    </w:p>
    <w:p>
      <w:pPr>
        <w:pStyle w:val="31"/>
        <w:spacing w:line="360" w:lineRule="auto"/>
        <w:ind w:firstLine="424" w:firstLineChars="200"/>
        <w:rPr>
          <w:rFonts w:hint="eastAsia" w:ascii="宋体" w:hAnsi="宋体" w:eastAsia="宋体" w:cs="宋体"/>
          <w:sz w:val="21"/>
          <w:szCs w:val="21"/>
          <w:highlight w:val="none"/>
        </w:rPr>
      </w:pPr>
      <w:r>
        <w:rPr>
          <w:rFonts w:hint="eastAsia" w:ascii="宋体" w:hAnsi="宋体" w:cs="宋体"/>
          <w:sz w:val="21"/>
          <w:szCs w:val="21"/>
          <w:highlight w:val="none"/>
          <w:lang w:val="en-US" w:eastAsia="zh-CN"/>
        </w:rPr>
        <w:t>12</w:t>
      </w:r>
      <w:r>
        <w:rPr>
          <w:rFonts w:hint="eastAsia" w:ascii="宋体" w:hAnsi="宋体" w:eastAsia="宋体" w:cs="宋体"/>
          <w:sz w:val="21"/>
          <w:szCs w:val="21"/>
          <w:highlight w:val="none"/>
        </w:rPr>
        <w:t>、按有关法律、法规、规章规定属于响应文件无效的。</w:t>
      </w:r>
    </w:p>
    <w:p>
      <w:pPr>
        <w:snapToGrid w:val="0"/>
        <w:spacing w:line="360" w:lineRule="auto"/>
        <w:ind w:firstLine="424" w:firstLineChars="200"/>
        <w:rPr>
          <w:rFonts w:hint="eastAsia" w:ascii="宋体" w:hAnsi="宋体" w:eastAsia="宋体" w:cs="宋体"/>
          <w:bCs/>
          <w:color w:val="000000"/>
          <w:sz w:val="21"/>
          <w:szCs w:val="21"/>
          <w:highlight w:val="none"/>
          <w:lang w:val="zh-CN"/>
        </w:rPr>
      </w:pPr>
      <w:r>
        <w:rPr>
          <w:rFonts w:hint="eastAsia" w:ascii="宋体" w:hAnsi="宋体" w:eastAsia="宋体" w:cs="宋体"/>
          <w:sz w:val="21"/>
          <w:szCs w:val="21"/>
          <w:highlight w:val="none"/>
          <w:lang w:val="en-US" w:eastAsia="zh-CN"/>
        </w:rPr>
        <w:t>13</w:t>
      </w:r>
      <w:r>
        <w:rPr>
          <w:rFonts w:hint="eastAsia" w:ascii="宋体" w:hAnsi="宋体" w:eastAsia="宋体" w:cs="宋体"/>
          <w:sz w:val="21"/>
          <w:szCs w:val="21"/>
          <w:highlight w:val="none"/>
        </w:rPr>
        <w:t>、</w:t>
      </w:r>
      <w:r>
        <w:rPr>
          <w:rFonts w:hint="eastAsia" w:ascii="宋体" w:hAnsi="宋体" w:eastAsia="宋体" w:cs="宋体"/>
          <w:sz w:val="21"/>
          <w:szCs w:val="21"/>
          <w:highlight w:val="none"/>
          <w:lang w:val="zh-CN"/>
        </w:rPr>
        <w:t>磋商</w:t>
      </w:r>
      <w:r>
        <w:rPr>
          <w:rFonts w:hint="eastAsia" w:ascii="宋体" w:hAnsi="宋体" w:eastAsia="宋体" w:cs="宋体"/>
          <w:bCs/>
          <w:color w:val="000000"/>
          <w:sz w:val="21"/>
          <w:szCs w:val="21"/>
          <w:highlight w:val="none"/>
          <w:lang w:val="zh-CN"/>
        </w:rPr>
        <w:t>小组在评审过程中，应以供应商提供的响应文件为评审依据，不得接受响应文件以外的任何形式的文件资料。</w:t>
      </w:r>
    </w:p>
    <w:p>
      <w:pPr>
        <w:snapToGrid w:val="0"/>
        <w:spacing w:line="360" w:lineRule="auto"/>
        <w:ind w:firstLine="424" w:firstLineChars="200"/>
        <w:rPr>
          <w:rFonts w:hint="eastAsia" w:ascii="宋体" w:hAnsi="宋体" w:eastAsia="宋体" w:cs="宋体"/>
          <w:bCs/>
          <w:color w:val="000000"/>
          <w:sz w:val="24"/>
          <w:szCs w:val="24"/>
          <w:highlight w:val="none"/>
        </w:rPr>
      </w:pPr>
      <w:r>
        <w:rPr>
          <w:rFonts w:hint="eastAsia" w:ascii="宋体" w:hAnsi="宋体" w:eastAsia="宋体" w:cs="宋体"/>
          <w:bCs/>
          <w:color w:val="000000"/>
          <w:sz w:val="21"/>
          <w:szCs w:val="21"/>
          <w:highlight w:val="none"/>
          <w:lang w:val="en-US" w:eastAsia="zh-CN"/>
        </w:rPr>
        <w:t>14</w:t>
      </w:r>
      <w:r>
        <w:rPr>
          <w:rFonts w:hint="eastAsia" w:ascii="宋体" w:hAnsi="宋体" w:eastAsia="宋体" w:cs="宋体"/>
          <w:bCs/>
          <w:color w:val="000000"/>
          <w:sz w:val="21"/>
          <w:szCs w:val="21"/>
          <w:highlight w:val="none"/>
        </w:rPr>
        <w:t>、磋商文件中规定的其他情况。</w:t>
      </w:r>
    </w:p>
    <w:p>
      <w:pPr>
        <w:spacing w:line="360" w:lineRule="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十六、供应商禁止行为</w:t>
      </w:r>
    </w:p>
    <w:p>
      <w:pPr>
        <w:spacing w:line="360" w:lineRule="auto"/>
        <w:ind w:left="420"/>
        <w:rPr>
          <w:rFonts w:hint="eastAsia" w:ascii="宋体" w:hAnsi="宋体" w:eastAsia="宋体" w:cs="宋体"/>
          <w:sz w:val="21"/>
          <w:szCs w:val="21"/>
          <w:highlight w:val="none"/>
        </w:rPr>
      </w:pPr>
      <w:r>
        <w:rPr>
          <w:rFonts w:hint="eastAsia" w:ascii="宋体" w:hAnsi="宋体" w:eastAsia="宋体" w:cs="宋体"/>
          <w:sz w:val="21"/>
          <w:szCs w:val="21"/>
          <w:highlight w:val="none"/>
        </w:rPr>
        <w:t>（1）供应商在提交响应文件截止时间后撤回响应文件；</w:t>
      </w:r>
    </w:p>
    <w:p>
      <w:pPr>
        <w:spacing w:line="360" w:lineRule="auto"/>
        <w:ind w:left="420"/>
        <w:rPr>
          <w:rFonts w:hint="eastAsia" w:ascii="宋体" w:hAnsi="宋体" w:eastAsia="宋体" w:cs="宋体"/>
          <w:sz w:val="21"/>
          <w:szCs w:val="21"/>
          <w:highlight w:val="none"/>
        </w:rPr>
      </w:pPr>
      <w:r>
        <w:rPr>
          <w:rFonts w:hint="eastAsia" w:ascii="宋体" w:hAnsi="宋体" w:eastAsia="宋体" w:cs="宋体"/>
          <w:sz w:val="21"/>
          <w:szCs w:val="21"/>
          <w:highlight w:val="none"/>
        </w:rPr>
        <w:t>（2）成交人在评审结果产生后放弃成交；</w:t>
      </w:r>
    </w:p>
    <w:p>
      <w:pPr>
        <w:spacing w:line="360" w:lineRule="auto"/>
        <w:ind w:left="420"/>
        <w:rPr>
          <w:rFonts w:hint="eastAsia" w:ascii="宋体" w:hAnsi="宋体" w:eastAsia="宋体" w:cs="宋体"/>
          <w:color w:val="FF6600"/>
          <w:sz w:val="21"/>
          <w:szCs w:val="21"/>
          <w:highlight w:val="none"/>
        </w:rPr>
      </w:pPr>
      <w:r>
        <w:rPr>
          <w:rFonts w:hint="eastAsia" w:ascii="宋体" w:hAnsi="宋体" w:eastAsia="宋体" w:cs="宋体"/>
          <w:sz w:val="21"/>
          <w:szCs w:val="21"/>
          <w:highlight w:val="none"/>
        </w:rPr>
        <w:t>（3）成交人在规定的时限内不签订采购合同。</w:t>
      </w:r>
    </w:p>
    <w:p>
      <w:pPr>
        <w:snapToGrid w:val="0"/>
        <w:spacing w:line="360" w:lineRule="auto"/>
        <w:rPr>
          <w:rFonts w:hint="eastAsia" w:ascii="宋体" w:hAnsi="宋体" w:eastAsia="宋体" w:cs="宋体"/>
          <w:b/>
          <w:spacing w:val="-2"/>
          <w:sz w:val="24"/>
          <w:szCs w:val="24"/>
          <w:highlight w:val="none"/>
        </w:rPr>
      </w:pPr>
      <w:r>
        <w:rPr>
          <w:rFonts w:hint="eastAsia" w:ascii="宋体" w:hAnsi="宋体" w:eastAsia="宋体" w:cs="宋体"/>
          <w:b/>
          <w:bCs/>
          <w:sz w:val="24"/>
          <w:szCs w:val="24"/>
          <w:highlight w:val="none"/>
        </w:rPr>
        <w:t>十七、</w:t>
      </w:r>
      <w:r>
        <w:rPr>
          <w:rFonts w:hint="eastAsia" w:ascii="宋体" w:hAnsi="宋体" w:eastAsia="宋体" w:cs="宋体"/>
          <w:b/>
          <w:spacing w:val="-2"/>
          <w:sz w:val="24"/>
          <w:szCs w:val="24"/>
          <w:highlight w:val="none"/>
        </w:rPr>
        <w:t>磋商保证金</w:t>
      </w:r>
    </w:p>
    <w:p>
      <w:pPr>
        <w:spacing w:line="360" w:lineRule="auto"/>
        <w:ind w:firstLine="424"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1.户名：</w:t>
      </w:r>
      <w:r>
        <w:rPr>
          <w:rFonts w:hint="eastAsia" w:ascii="宋体" w:hAnsi="宋体" w:eastAsia="宋体" w:cs="宋体"/>
          <w:sz w:val="21"/>
          <w:szCs w:val="21"/>
          <w:highlight w:val="none"/>
          <w:lang w:eastAsia="zh-CN"/>
        </w:rPr>
        <w:t>正信伟业工程咨询管理有限公司</w:t>
      </w:r>
    </w:p>
    <w:p>
      <w:pPr>
        <w:spacing w:line="360" w:lineRule="auto"/>
        <w:ind w:firstLine="424"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2.账号：7451110182600027374</w:t>
      </w:r>
    </w:p>
    <w:p>
      <w:pPr>
        <w:spacing w:line="360" w:lineRule="auto"/>
        <w:ind w:firstLine="424"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3.开户银行：中信银行哈尔滨分行营业部 </w:t>
      </w:r>
    </w:p>
    <w:p>
      <w:pPr>
        <w:spacing w:line="360" w:lineRule="auto"/>
        <w:ind w:firstLine="424"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4.磋商保证金的形式：银行汇款</w:t>
      </w:r>
    </w:p>
    <w:p>
      <w:pPr>
        <w:spacing w:line="360" w:lineRule="auto"/>
        <w:ind w:firstLine="424"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5.磋商保证金的金额：</w:t>
      </w:r>
      <w:r>
        <w:rPr>
          <w:rFonts w:hint="eastAsia" w:ascii="宋体" w:hAnsi="宋体" w:eastAsia="宋体" w:cs="宋体"/>
          <w:sz w:val="21"/>
          <w:szCs w:val="21"/>
          <w:highlight w:val="none"/>
          <w:lang w:val="en-US" w:eastAsia="zh-CN"/>
        </w:rPr>
        <w:t>18000</w:t>
      </w:r>
      <w:r>
        <w:rPr>
          <w:rFonts w:hint="eastAsia" w:ascii="宋体" w:hAnsi="宋体" w:eastAsia="宋体" w:cs="宋体"/>
          <w:sz w:val="21"/>
          <w:szCs w:val="21"/>
          <w:highlight w:val="none"/>
        </w:rPr>
        <w:t>.00元</w:t>
      </w:r>
    </w:p>
    <w:p>
      <w:pPr>
        <w:spacing w:line="360" w:lineRule="auto"/>
        <w:ind w:firstLine="424"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6.磋商保证金的递交方式：从供应商企业基本账户进行转账的形式交纳。</w:t>
      </w:r>
    </w:p>
    <w:p>
      <w:pPr>
        <w:spacing w:line="360" w:lineRule="auto"/>
        <w:ind w:firstLine="424"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7.磋商保证金交纳的时间及地点：</w:t>
      </w:r>
      <w:r>
        <w:rPr>
          <w:rStyle w:val="30"/>
          <w:rFonts w:hint="eastAsia" w:ascii="宋体" w:hAnsi="宋体" w:eastAsia="宋体" w:cs="宋体"/>
          <w:b w:val="0"/>
          <w:bCs/>
          <w:sz w:val="21"/>
          <w:szCs w:val="21"/>
          <w:highlight w:val="none"/>
          <w:lang w:eastAsia="zh-CN"/>
        </w:rPr>
        <w:t>2020年</w:t>
      </w:r>
      <w:r>
        <w:rPr>
          <w:rStyle w:val="30"/>
          <w:rFonts w:hint="eastAsia" w:ascii="宋体" w:hAnsi="宋体" w:eastAsia="宋体" w:cs="宋体"/>
          <w:b w:val="0"/>
          <w:bCs/>
          <w:sz w:val="21"/>
          <w:szCs w:val="21"/>
          <w:highlight w:val="none"/>
          <w:lang w:val="en-US" w:eastAsia="zh-CN"/>
        </w:rPr>
        <w:t>08</w:t>
      </w:r>
      <w:r>
        <w:rPr>
          <w:rStyle w:val="30"/>
          <w:rFonts w:hint="eastAsia" w:ascii="宋体" w:hAnsi="宋体" w:eastAsia="宋体" w:cs="宋体"/>
          <w:b w:val="0"/>
          <w:bCs/>
          <w:sz w:val="21"/>
          <w:szCs w:val="21"/>
          <w:highlight w:val="none"/>
          <w:lang w:eastAsia="zh-CN"/>
        </w:rPr>
        <w:t>月</w:t>
      </w:r>
      <w:r>
        <w:rPr>
          <w:rStyle w:val="30"/>
          <w:rFonts w:hint="eastAsia" w:ascii="宋体" w:hAnsi="宋体" w:eastAsia="宋体" w:cs="宋体"/>
          <w:b w:val="0"/>
          <w:bCs/>
          <w:sz w:val="21"/>
          <w:szCs w:val="21"/>
          <w:highlight w:val="none"/>
          <w:lang w:val="en-US" w:eastAsia="zh-CN"/>
        </w:rPr>
        <w:t>24</w:t>
      </w:r>
      <w:r>
        <w:rPr>
          <w:rStyle w:val="30"/>
          <w:rFonts w:hint="eastAsia" w:ascii="宋体" w:hAnsi="宋体" w:eastAsia="宋体" w:cs="宋体"/>
          <w:b w:val="0"/>
          <w:bCs/>
          <w:sz w:val="21"/>
          <w:szCs w:val="21"/>
          <w:highlight w:val="none"/>
          <w:lang w:eastAsia="zh-CN"/>
        </w:rPr>
        <w:t>日14时</w:t>
      </w:r>
      <w:r>
        <w:rPr>
          <w:rStyle w:val="30"/>
          <w:rFonts w:hint="eastAsia" w:ascii="宋体" w:hAnsi="宋体" w:eastAsia="宋体" w:cs="宋体"/>
          <w:b w:val="0"/>
          <w:bCs/>
          <w:sz w:val="21"/>
          <w:szCs w:val="21"/>
          <w:highlight w:val="none"/>
          <w:lang w:val="en-US" w:eastAsia="zh-CN"/>
        </w:rPr>
        <w:t>00</w:t>
      </w:r>
      <w:r>
        <w:rPr>
          <w:rStyle w:val="30"/>
          <w:rFonts w:hint="eastAsia" w:ascii="宋体" w:hAnsi="宋体" w:eastAsia="宋体" w:cs="宋体"/>
          <w:b w:val="0"/>
          <w:bCs/>
          <w:sz w:val="21"/>
          <w:szCs w:val="21"/>
          <w:highlight w:val="none"/>
          <w:lang w:eastAsia="zh-CN"/>
        </w:rPr>
        <w:t>分</w:t>
      </w:r>
      <w:r>
        <w:rPr>
          <w:rFonts w:hint="eastAsia" w:ascii="宋体" w:hAnsi="宋体" w:eastAsia="宋体" w:cs="宋体"/>
          <w:sz w:val="21"/>
          <w:szCs w:val="21"/>
          <w:highlight w:val="none"/>
        </w:rPr>
        <w:t>。</w:t>
      </w:r>
    </w:p>
    <w:p>
      <w:pPr>
        <w:spacing w:line="360" w:lineRule="auto"/>
        <w:ind w:firstLine="424"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注：1、供应商必须从企业工商注册所在地基本账户汇款至</w:t>
      </w:r>
      <w:r>
        <w:rPr>
          <w:rFonts w:hint="eastAsia" w:ascii="宋体" w:hAnsi="宋体" w:eastAsia="宋体" w:cs="宋体"/>
          <w:sz w:val="21"/>
          <w:szCs w:val="21"/>
          <w:highlight w:val="none"/>
          <w:lang w:eastAsia="zh-CN"/>
        </w:rPr>
        <w:t>正信伟业工程咨询管理有限公司</w:t>
      </w:r>
      <w:r>
        <w:rPr>
          <w:rFonts w:hint="eastAsia" w:ascii="宋体" w:hAnsi="宋体" w:eastAsia="宋体" w:cs="宋体"/>
          <w:sz w:val="21"/>
          <w:szCs w:val="21"/>
          <w:highlight w:val="none"/>
        </w:rPr>
        <w:t>账户(磋商文件中指定的账户)，且磋商保证金的付款单位与供应商的名称必须一致。2、汇款时必须注明工程“项目全称及磋商保证金”字样，如未按要求注明将视为没有缴纳，所造成的一切后果均由供应商自行负责。3、各供应商汇款后，应查询本企业开户银行磋商保证金是否有退款的情况。4、磋商保证金以我公司账户收到款项日期为准。5、汇款后将电汇底单和银行开户许可证清晰扫描件发送至zxwyzb7@163.com邮箱，注明“</w:t>
      </w:r>
      <w:r>
        <w:rPr>
          <w:rFonts w:hint="eastAsia" w:ascii="宋体" w:hAnsi="宋体" w:eastAsia="宋体" w:cs="宋体"/>
          <w:sz w:val="21"/>
          <w:szCs w:val="21"/>
          <w:highlight w:val="none"/>
          <w:lang w:eastAsia="zh-CN"/>
        </w:rPr>
        <w:t>哈工程体育设施项目</w:t>
      </w:r>
      <w:r>
        <w:rPr>
          <w:rFonts w:hint="eastAsia" w:ascii="宋体" w:hAnsi="宋体" w:eastAsia="宋体" w:cs="宋体"/>
          <w:sz w:val="21"/>
          <w:szCs w:val="21"/>
          <w:highlight w:val="none"/>
        </w:rPr>
        <w:t>保证金”。</w:t>
      </w:r>
    </w:p>
    <w:p>
      <w:pPr>
        <w:spacing w:line="360" w:lineRule="auto"/>
        <w:ind w:firstLine="424"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以电汇的形式于</w:t>
      </w:r>
      <w:r>
        <w:rPr>
          <w:rStyle w:val="30"/>
          <w:rFonts w:hint="eastAsia" w:ascii="宋体" w:hAnsi="宋体" w:eastAsia="宋体" w:cs="宋体"/>
          <w:b w:val="0"/>
          <w:bCs/>
          <w:sz w:val="21"/>
          <w:szCs w:val="21"/>
          <w:highlight w:val="none"/>
          <w:lang w:eastAsia="zh-CN"/>
        </w:rPr>
        <w:t>2020年</w:t>
      </w:r>
      <w:r>
        <w:rPr>
          <w:rStyle w:val="30"/>
          <w:rFonts w:hint="eastAsia" w:ascii="宋体" w:hAnsi="宋体" w:eastAsia="宋体" w:cs="宋体"/>
          <w:b w:val="0"/>
          <w:bCs/>
          <w:sz w:val="21"/>
          <w:szCs w:val="21"/>
          <w:highlight w:val="none"/>
          <w:lang w:val="en-US" w:eastAsia="zh-CN"/>
        </w:rPr>
        <w:t>08</w:t>
      </w:r>
      <w:r>
        <w:rPr>
          <w:rStyle w:val="30"/>
          <w:rFonts w:hint="eastAsia" w:ascii="宋体" w:hAnsi="宋体" w:eastAsia="宋体" w:cs="宋体"/>
          <w:b w:val="0"/>
          <w:bCs/>
          <w:sz w:val="21"/>
          <w:szCs w:val="21"/>
          <w:highlight w:val="none"/>
          <w:lang w:eastAsia="zh-CN"/>
        </w:rPr>
        <w:t>月</w:t>
      </w:r>
      <w:r>
        <w:rPr>
          <w:rStyle w:val="30"/>
          <w:rFonts w:hint="eastAsia" w:ascii="宋体" w:hAnsi="宋体" w:eastAsia="宋体" w:cs="宋体"/>
          <w:b w:val="0"/>
          <w:bCs/>
          <w:sz w:val="21"/>
          <w:szCs w:val="21"/>
          <w:highlight w:val="none"/>
          <w:lang w:val="en-US" w:eastAsia="zh-CN"/>
        </w:rPr>
        <w:t>24</w:t>
      </w:r>
      <w:r>
        <w:rPr>
          <w:rStyle w:val="30"/>
          <w:rFonts w:hint="eastAsia" w:ascii="宋体" w:hAnsi="宋体" w:eastAsia="宋体" w:cs="宋体"/>
          <w:b w:val="0"/>
          <w:bCs/>
          <w:sz w:val="21"/>
          <w:szCs w:val="21"/>
          <w:highlight w:val="none"/>
          <w:lang w:eastAsia="zh-CN"/>
        </w:rPr>
        <w:t>日14时</w:t>
      </w:r>
      <w:r>
        <w:rPr>
          <w:rStyle w:val="30"/>
          <w:rFonts w:hint="eastAsia" w:ascii="宋体" w:hAnsi="宋体" w:eastAsia="宋体" w:cs="宋体"/>
          <w:b w:val="0"/>
          <w:bCs/>
          <w:sz w:val="21"/>
          <w:szCs w:val="21"/>
          <w:highlight w:val="none"/>
          <w:lang w:val="en-US" w:eastAsia="zh-CN"/>
        </w:rPr>
        <w:t>00</w:t>
      </w:r>
      <w:r>
        <w:rPr>
          <w:rStyle w:val="30"/>
          <w:rFonts w:hint="eastAsia" w:ascii="宋体" w:hAnsi="宋体" w:eastAsia="宋体" w:cs="宋体"/>
          <w:b w:val="0"/>
          <w:bCs/>
          <w:sz w:val="21"/>
          <w:szCs w:val="21"/>
          <w:highlight w:val="none"/>
          <w:lang w:eastAsia="zh-CN"/>
        </w:rPr>
        <w:t>分前</w:t>
      </w:r>
      <w:r>
        <w:rPr>
          <w:rFonts w:hint="eastAsia" w:ascii="宋体" w:hAnsi="宋体" w:eastAsia="宋体" w:cs="宋体"/>
          <w:sz w:val="21"/>
          <w:szCs w:val="21"/>
          <w:highlight w:val="none"/>
        </w:rPr>
        <w:t>电汇至</w:t>
      </w:r>
      <w:r>
        <w:rPr>
          <w:rFonts w:hint="eastAsia" w:ascii="宋体" w:hAnsi="宋体" w:eastAsia="宋体" w:cs="宋体"/>
          <w:sz w:val="21"/>
          <w:szCs w:val="21"/>
          <w:highlight w:val="none"/>
          <w:lang w:eastAsia="zh-CN"/>
        </w:rPr>
        <w:t>正信伟业工程咨询管理有限公司</w:t>
      </w:r>
      <w:r>
        <w:rPr>
          <w:rFonts w:hint="eastAsia" w:ascii="宋体" w:hAnsi="宋体" w:eastAsia="宋体" w:cs="宋体"/>
          <w:sz w:val="21"/>
          <w:szCs w:val="21"/>
          <w:highlight w:val="none"/>
        </w:rPr>
        <w:t>财务室，注明项目名称、项目编号和所投包号。有以下情形的汇款，拒收并回退原账户：</w:t>
      </w:r>
    </w:p>
    <w:p>
      <w:pPr>
        <w:spacing w:line="360" w:lineRule="auto"/>
        <w:ind w:firstLine="424"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（1）未注明项目名称、项目编号和所投包号或注明错误的；</w:t>
      </w:r>
    </w:p>
    <w:p>
      <w:pPr>
        <w:spacing w:line="360" w:lineRule="auto"/>
        <w:ind w:firstLine="424"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（2）以个人名义汇至</w:t>
      </w:r>
      <w:r>
        <w:rPr>
          <w:rFonts w:hint="eastAsia" w:ascii="宋体" w:hAnsi="宋体" w:eastAsia="宋体" w:cs="宋体"/>
          <w:sz w:val="21"/>
          <w:szCs w:val="21"/>
          <w:highlight w:val="none"/>
          <w:lang w:eastAsia="zh-CN"/>
        </w:rPr>
        <w:t>正信伟业工程咨询管理有限公司</w:t>
      </w:r>
      <w:r>
        <w:rPr>
          <w:rFonts w:hint="eastAsia" w:ascii="宋体" w:hAnsi="宋体" w:eastAsia="宋体" w:cs="宋体"/>
          <w:sz w:val="21"/>
          <w:szCs w:val="21"/>
          <w:highlight w:val="none"/>
        </w:rPr>
        <w:t>账户的；</w:t>
      </w:r>
    </w:p>
    <w:p>
      <w:pPr>
        <w:spacing w:line="360" w:lineRule="auto"/>
        <w:ind w:firstLine="424"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（3）汇款人账户名称、账号与供应商开户许可证名称、账号不一致的。</w:t>
      </w:r>
    </w:p>
    <w:p>
      <w:pPr>
        <w:spacing w:line="360" w:lineRule="auto"/>
        <w:ind w:firstLine="424"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以担保保函方式提交磋商保证金的，应提交经省级及以上财政部门认定的担保公司出具的投标保函，或银行出具的投标保函（保函需对代理机构）。投标保函应按磋商文件中规定的“政府采购投标保函”样式出具，不按磋商文件规定的“政府采购投标保函”样式出具的磋商保函，代理机构不予接受。</w:t>
      </w:r>
    </w:p>
    <w:p>
      <w:pPr>
        <w:spacing w:line="360" w:lineRule="auto"/>
        <w:ind w:firstLine="424"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8.任何未按要求提交磋商保证金、投标保函的供应商，代理机构将视其为非实质性响应而予以拒绝。</w:t>
      </w:r>
    </w:p>
    <w:p>
      <w:pPr>
        <w:spacing w:line="360" w:lineRule="auto"/>
        <w:ind w:firstLine="424"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9.磋商保证金的清退</w:t>
      </w:r>
    </w:p>
    <w:p>
      <w:pPr>
        <w:spacing w:line="360" w:lineRule="auto"/>
        <w:ind w:firstLine="424"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（1）如无质疑或投诉，未成交的磋商供应商的磋商保证金于成交通知书发出后5</w:t>
      </w:r>
      <w:r>
        <w:rPr>
          <w:rFonts w:hint="eastAsia" w:ascii="宋体" w:hAnsi="宋体" w:eastAsia="宋体" w:cs="宋体"/>
          <w:sz w:val="21"/>
          <w:szCs w:val="21"/>
          <w:highlight w:val="none"/>
          <w:lang w:val="en-US" w:eastAsia="zh-CN"/>
        </w:rPr>
        <w:t>个工作</w:t>
      </w:r>
      <w:r>
        <w:rPr>
          <w:rFonts w:hint="eastAsia" w:ascii="宋体" w:hAnsi="宋体" w:eastAsia="宋体" w:cs="宋体"/>
          <w:sz w:val="21"/>
          <w:szCs w:val="21"/>
          <w:highlight w:val="none"/>
        </w:rPr>
        <w:t>日内予以退还；</w:t>
      </w:r>
    </w:p>
    <w:p>
      <w:pPr>
        <w:spacing w:line="360" w:lineRule="auto"/>
        <w:ind w:firstLine="424"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成交供应商的磋商保证金将按照有关规定，在采购单位与成交供应商签订合同后5日内予以退还。</w:t>
      </w:r>
    </w:p>
    <w:p>
      <w:pPr>
        <w:spacing w:line="360" w:lineRule="auto"/>
        <w:ind w:firstLine="424"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（2）如有质疑或投诉，将在质疑或投诉处理完毕后5日内为未成交供应商办理保证金清退手续；</w:t>
      </w:r>
    </w:p>
    <w:p>
      <w:pPr>
        <w:spacing w:line="360" w:lineRule="auto"/>
        <w:ind w:firstLine="424"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（3）磋商保证金清退时，</w:t>
      </w:r>
      <w:r>
        <w:rPr>
          <w:rFonts w:hint="eastAsia" w:ascii="宋体" w:hAnsi="宋体" w:eastAsia="宋体" w:cs="宋体"/>
          <w:sz w:val="21"/>
          <w:szCs w:val="21"/>
          <w:highlight w:val="none"/>
          <w:lang w:eastAsia="zh-CN"/>
        </w:rPr>
        <w:t>正信伟业工程咨询管理有限公司</w:t>
      </w:r>
      <w:r>
        <w:rPr>
          <w:rFonts w:hint="eastAsia" w:ascii="宋体" w:hAnsi="宋体" w:eastAsia="宋体" w:cs="宋体"/>
          <w:sz w:val="21"/>
          <w:szCs w:val="21"/>
          <w:highlight w:val="none"/>
        </w:rPr>
        <w:t>将按原汇款账号退回，</w:t>
      </w:r>
      <w:r>
        <w:rPr>
          <w:rFonts w:hint="eastAsia" w:ascii="宋体" w:hAnsi="宋体" w:eastAsia="宋体" w:cs="宋体"/>
          <w:sz w:val="21"/>
          <w:szCs w:val="21"/>
          <w:highlight w:val="none"/>
          <w:lang w:eastAsia="zh-CN"/>
        </w:rPr>
        <w:t>正信伟业工程咨询管理有限公司</w:t>
      </w:r>
      <w:r>
        <w:rPr>
          <w:rFonts w:hint="eastAsia" w:ascii="宋体" w:hAnsi="宋体" w:eastAsia="宋体" w:cs="宋体"/>
          <w:sz w:val="21"/>
          <w:szCs w:val="21"/>
          <w:highlight w:val="none"/>
        </w:rPr>
        <w:t>不受理以任何理由将磋商保证金退至其他账户的业务；</w:t>
      </w:r>
    </w:p>
    <w:p>
      <w:pPr>
        <w:spacing w:line="360" w:lineRule="auto"/>
        <w:ind w:firstLine="424"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4.有下列情形之一的，供应商的磋商保证金将被依法没收：</w:t>
      </w:r>
    </w:p>
    <w:p>
      <w:pPr>
        <w:spacing w:line="360" w:lineRule="auto"/>
        <w:ind w:firstLine="424"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(1)在提交响应文件截止时间后撤回响应文件的；</w:t>
      </w:r>
    </w:p>
    <w:p>
      <w:pPr>
        <w:spacing w:line="360" w:lineRule="auto"/>
        <w:ind w:firstLine="424"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(2)在响应文件中提供虚假材料的；</w:t>
      </w:r>
    </w:p>
    <w:p>
      <w:pPr>
        <w:spacing w:line="360" w:lineRule="auto"/>
        <w:ind w:firstLine="424"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(3)成交后无正当理由放弃成交或在规定期限内不与采购人签订合同的；</w:t>
      </w:r>
    </w:p>
    <w:p>
      <w:pPr>
        <w:spacing w:line="360" w:lineRule="auto"/>
        <w:ind w:firstLine="424"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(4)与采购人、其他供应商或者采购代理机构恶意串通的；</w:t>
      </w:r>
    </w:p>
    <w:p>
      <w:pPr>
        <w:spacing w:line="360" w:lineRule="auto"/>
        <w:ind w:firstLine="424"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(5)被认定为虚假和恶意质疑的。</w:t>
      </w:r>
    </w:p>
    <w:p>
      <w:pPr>
        <w:spacing w:line="360" w:lineRule="auto"/>
        <w:ind w:firstLine="424"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5.对磋商保证金的咨询请与代理机构招标七组联系：</w:t>
      </w:r>
    </w:p>
    <w:p>
      <w:pPr>
        <w:spacing w:line="360" w:lineRule="auto"/>
        <w:ind w:firstLine="424"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联系电话： 0451-82362805-807</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；联系人：</w:t>
      </w:r>
      <w:r>
        <w:rPr>
          <w:rFonts w:hint="eastAsia" w:ascii="宋体" w:hAnsi="宋体" w:eastAsia="宋体" w:cs="宋体"/>
          <w:sz w:val="21"/>
          <w:szCs w:val="21"/>
          <w:highlight w:val="none"/>
          <w:lang w:val="en-US" w:eastAsia="zh-CN"/>
        </w:rPr>
        <w:t>邵</w:t>
      </w:r>
      <w:r>
        <w:rPr>
          <w:rFonts w:hint="eastAsia" w:ascii="宋体" w:hAnsi="宋体" w:eastAsia="宋体" w:cs="宋体"/>
          <w:sz w:val="21"/>
          <w:szCs w:val="21"/>
          <w:highlight w:val="none"/>
        </w:rPr>
        <w:t>先生；</w:t>
      </w:r>
    </w:p>
    <w:p>
      <w:pPr>
        <w:spacing w:line="360" w:lineRule="auto"/>
        <w:ind w:firstLine="564" w:firstLineChars="200"/>
        <w:jc w:val="cente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D  磋商及评审方法</w:t>
      </w:r>
    </w:p>
    <w:p>
      <w:pPr>
        <w:snapToGrid w:val="0"/>
        <w:spacing w:line="360" w:lineRule="auto"/>
        <w:ind w:firstLine="510"/>
        <w:jc w:val="center"/>
        <w:rPr>
          <w:rFonts w:hint="eastAsia" w:ascii="宋体" w:hAnsi="宋体" w:eastAsia="宋体" w:cs="宋体"/>
          <w:spacing w:val="-10"/>
          <w:sz w:val="24"/>
          <w:szCs w:val="24"/>
          <w:highlight w:val="none"/>
        </w:rPr>
      </w:pPr>
    </w:p>
    <w:p>
      <w:pPr>
        <w:snapToGrid w:val="0"/>
        <w:spacing w:line="360" w:lineRule="auto"/>
        <w:rPr>
          <w:rFonts w:hint="eastAsia" w:ascii="宋体" w:hAnsi="宋体" w:eastAsia="宋体" w:cs="宋体"/>
          <w:b/>
          <w:bCs/>
          <w:spacing w:val="-10"/>
          <w:sz w:val="24"/>
          <w:szCs w:val="24"/>
          <w:highlight w:val="none"/>
        </w:rPr>
      </w:pPr>
      <w:r>
        <w:rPr>
          <w:rFonts w:hint="eastAsia" w:ascii="宋体" w:hAnsi="宋体" w:eastAsia="宋体" w:cs="宋体"/>
          <w:b/>
          <w:bCs/>
          <w:spacing w:val="-10"/>
          <w:sz w:val="24"/>
          <w:szCs w:val="24"/>
          <w:highlight w:val="none"/>
        </w:rPr>
        <w:t>十八、磋商</w:t>
      </w:r>
    </w:p>
    <w:p>
      <w:pPr>
        <w:spacing w:line="360" w:lineRule="auto"/>
        <w:rPr>
          <w:rFonts w:hint="eastAsia" w:ascii="宋体" w:hAnsi="宋体" w:eastAsia="宋体" w:cs="宋体"/>
          <w:sz w:val="21"/>
          <w:szCs w:val="21"/>
          <w:highlight w:val="none"/>
        </w:rPr>
      </w:pPr>
      <w:r>
        <w:rPr>
          <w:rFonts w:hint="eastAsia" w:ascii="宋体" w:hAnsi="宋体" w:eastAsia="宋体" w:cs="宋体"/>
          <w:spacing w:val="-10"/>
          <w:sz w:val="21"/>
          <w:szCs w:val="21"/>
          <w:highlight w:val="none"/>
        </w:rPr>
        <w:t>（一）磋商</w:t>
      </w:r>
      <w:r>
        <w:rPr>
          <w:rFonts w:hint="eastAsia" w:ascii="宋体" w:hAnsi="宋体" w:eastAsia="宋体" w:cs="宋体"/>
          <w:sz w:val="21"/>
          <w:szCs w:val="21"/>
          <w:highlight w:val="none"/>
        </w:rPr>
        <w:t>工作由采购代理机构负责组织，具体评审事务由采购代理机构依法组建的竞争性磋商小组负责；</w:t>
      </w:r>
    </w:p>
    <w:p>
      <w:pPr>
        <w:spacing w:line="360" w:lineRule="auto"/>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t>（二）参加磋商的供应商须按竞争性磋商文件规定的时间和地点提交</w:t>
      </w:r>
      <w:r>
        <w:rPr>
          <w:rFonts w:hint="eastAsia" w:ascii="宋体" w:hAnsi="宋体" w:eastAsia="宋体" w:cs="宋体"/>
          <w:sz w:val="21"/>
          <w:szCs w:val="21"/>
          <w:highlight w:val="none"/>
        </w:rPr>
        <w:t>响应</w:t>
      </w:r>
      <w:r>
        <w:rPr>
          <w:rFonts w:hint="eastAsia" w:ascii="宋体" w:hAnsi="宋体" w:eastAsia="宋体" w:cs="宋体"/>
          <w:spacing w:val="-10"/>
          <w:sz w:val="21"/>
          <w:szCs w:val="21"/>
          <w:highlight w:val="none"/>
        </w:rPr>
        <w:t xml:space="preserve">文件；    </w:t>
      </w:r>
    </w:p>
    <w:p>
      <w:pPr>
        <w:spacing w:line="360" w:lineRule="auto"/>
        <w:rPr>
          <w:rFonts w:hint="eastAsia" w:ascii="宋体" w:hAnsi="宋体" w:eastAsia="宋体" w:cs="宋体"/>
          <w:sz w:val="21"/>
          <w:szCs w:val="21"/>
          <w:highlight w:val="none"/>
        </w:rPr>
      </w:pPr>
      <w:r>
        <w:rPr>
          <w:rFonts w:hint="eastAsia" w:ascii="宋体" w:hAnsi="宋体" w:eastAsia="宋体" w:cs="宋体"/>
          <w:spacing w:val="-10"/>
          <w:sz w:val="21"/>
          <w:szCs w:val="21"/>
          <w:highlight w:val="none"/>
        </w:rPr>
        <w:t>（三）</w:t>
      </w:r>
      <w:r>
        <w:rPr>
          <w:rFonts w:hint="eastAsia" w:ascii="宋体" w:hAnsi="宋体" w:eastAsia="宋体" w:cs="宋体"/>
          <w:sz w:val="21"/>
          <w:szCs w:val="21"/>
          <w:highlight w:val="none"/>
        </w:rPr>
        <w:t>资格性审查：</w:t>
      </w:r>
    </w:p>
    <w:p>
      <w:pPr>
        <w:spacing w:line="360" w:lineRule="auto"/>
        <w:ind w:firstLine="476" w:firstLineChars="225"/>
        <w:rPr>
          <w:rFonts w:hint="eastAsia" w:ascii="宋体" w:hAnsi="宋体" w:eastAsia="宋体" w:cs="宋体"/>
          <w:sz w:val="21"/>
          <w:szCs w:val="21"/>
          <w:highlight w:val="none"/>
        </w:rPr>
      </w:pPr>
      <w:r>
        <w:rPr>
          <w:rFonts w:hint="eastAsia" w:ascii="宋体" w:hAnsi="宋体" w:eastAsia="宋体" w:cs="宋体"/>
          <w:sz w:val="21"/>
          <w:szCs w:val="21"/>
          <w:highlight w:val="none"/>
        </w:rPr>
        <w:t>1、报价供应商代表身份确认。磋商小组对报价供应商代表递交报价文件时拍摄的本人及身份证照片与报价文件中报价供应商代表身份证复印件、法人代表授权书进行比对，如确定为同一个人，则报价供应商代表身份合格，否则报价无效；</w:t>
      </w:r>
    </w:p>
    <w:p>
      <w:pPr>
        <w:spacing w:line="360" w:lineRule="auto"/>
        <w:ind w:firstLine="476" w:firstLineChars="225"/>
        <w:rPr>
          <w:rFonts w:hint="eastAsia" w:ascii="宋体" w:hAnsi="宋体" w:eastAsia="宋体" w:cs="宋体"/>
          <w:sz w:val="21"/>
          <w:szCs w:val="21"/>
          <w:highlight w:val="none"/>
        </w:rPr>
      </w:pPr>
      <w:r>
        <w:rPr>
          <w:rFonts w:hint="eastAsia" w:ascii="宋体" w:hAnsi="宋体" w:eastAsia="宋体" w:cs="宋体"/>
          <w:sz w:val="21"/>
          <w:szCs w:val="21"/>
          <w:highlight w:val="none"/>
        </w:rPr>
        <w:t>2、磋商小组依据法律法规和竞争性磋商文件规定，对响应文件中的资格证明等进行审查，以确定供应商是否具备入围资格。如供应商不具备入围资格，应书面告知未入围的供应商原因并要求其签字确认收到告知书；</w:t>
      </w:r>
    </w:p>
    <w:p>
      <w:pPr>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四）符合性检查。依据竞争性磋商文件的规定，从响应文件的有效性、完整性和对竞争性磋商文件的响应程度进行检查，以确定是否对竞争性磋商文件的实质性要求作出响应。如未作出实质性响应，应书面告知未实质性响应的具体条款并签字确认收到告知书；</w:t>
      </w:r>
    </w:p>
    <w:p>
      <w:pPr>
        <w:snapToGrid w:val="0"/>
        <w:spacing w:line="360" w:lineRule="auto"/>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t>（五）</w:t>
      </w:r>
      <w:r>
        <w:rPr>
          <w:rFonts w:hint="eastAsia" w:ascii="宋体" w:hAnsi="宋体" w:eastAsia="宋体" w:cs="宋体"/>
          <w:sz w:val="21"/>
          <w:szCs w:val="21"/>
          <w:highlight w:val="none"/>
        </w:rPr>
        <w:t>对响应文件审查完毕后，</w:t>
      </w:r>
      <w:r>
        <w:rPr>
          <w:rFonts w:hint="eastAsia" w:ascii="宋体" w:hAnsi="宋体" w:eastAsia="宋体" w:cs="宋体"/>
          <w:spacing w:val="-10"/>
          <w:sz w:val="21"/>
          <w:szCs w:val="21"/>
          <w:highlight w:val="none"/>
        </w:rPr>
        <w:t>磋商小组成员集中与单一供应商分别进行磋商，</w:t>
      </w:r>
      <w:r>
        <w:rPr>
          <w:rFonts w:hint="eastAsia" w:ascii="宋体" w:hAnsi="宋体" w:eastAsia="宋体" w:cs="宋体"/>
          <w:sz w:val="21"/>
          <w:szCs w:val="21"/>
          <w:highlight w:val="none"/>
        </w:rPr>
        <w:t>并有权要求供应商对响应文件有关事项作出解释或者澄清。重要的解释或者澄清须以书面形式回复，并将构成响应文件的重要组成部分。</w:t>
      </w:r>
      <w:r>
        <w:rPr>
          <w:rFonts w:hint="eastAsia" w:ascii="宋体" w:hAnsi="宋体" w:eastAsia="宋体" w:cs="宋体"/>
          <w:spacing w:val="-10"/>
          <w:sz w:val="21"/>
          <w:szCs w:val="21"/>
          <w:highlight w:val="none"/>
        </w:rPr>
        <w:t>在磋商中，磋商的任何一方不得透露与磋商有关的其他供应商的技术资料、价格和其他信息；</w:t>
      </w:r>
    </w:p>
    <w:p>
      <w:pPr>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（六）供应商若有影响磋商结果的任何举动，将导致其最后报价被拒绝；</w:t>
      </w:r>
    </w:p>
    <w:p>
      <w:pPr>
        <w:snapToGrid w:val="0"/>
        <w:spacing w:line="360" w:lineRule="auto"/>
        <w:rPr>
          <w:rFonts w:hint="eastAsia" w:ascii="宋体" w:hAnsi="宋体" w:eastAsia="宋体" w:cs="宋体"/>
          <w:spacing w:val="-10"/>
          <w:sz w:val="21"/>
          <w:szCs w:val="21"/>
          <w:highlight w:val="none"/>
        </w:rPr>
      </w:pPr>
      <w:r>
        <w:rPr>
          <w:rFonts w:hint="eastAsia" w:ascii="宋体" w:hAnsi="宋体" w:eastAsia="宋体" w:cs="宋体"/>
          <w:spacing w:val="-10"/>
          <w:sz w:val="21"/>
          <w:szCs w:val="21"/>
          <w:highlight w:val="none"/>
        </w:rPr>
        <w:t>（七）在磋商过程中，如采购人对采购需求有变动，磋商小组应当以书面形式通知所有参加磋商的供应商；</w:t>
      </w:r>
    </w:p>
    <w:p>
      <w:pPr>
        <w:snapToGrid w:val="0"/>
        <w:spacing w:line="360" w:lineRule="auto"/>
        <w:rPr>
          <w:rFonts w:hint="eastAsia" w:ascii="宋体" w:hAnsi="宋体" w:eastAsia="宋体" w:cs="宋体"/>
          <w:sz w:val="21"/>
          <w:szCs w:val="21"/>
          <w:highlight w:val="none"/>
          <w:lang w:val="en-US" w:eastAsia="zh-CN"/>
        </w:rPr>
      </w:pPr>
      <w:r>
        <w:rPr>
          <w:rFonts w:hint="eastAsia" w:ascii="宋体" w:hAnsi="宋体" w:eastAsia="宋体" w:cs="宋体"/>
          <w:spacing w:val="-10"/>
          <w:sz w:val="21"/>
          <w:szCs w:val="21"/>
          <w:highlight w:val="none"/>
        </w:rPr>
        <w:t>（八）磋商结束后，</w:t>
      </w:r>
      <w:r>
        <w:rPr>
          <w:rFonts w:hint="eastAsia" w:ascii="宋体" w:hAnsi="宋体" w:eastAsia="宋体" w:cs="宋体"/>
          <w:sz w:val="21"/>
          <w:szCs w:val="21"/>
          <w:highlight w:val="none"/>
        </w:rPr>
        <w:t>由磋商小组负责确定最终入围供应商。即资格性和符合性检查合格的供应商，作为入围供应商，有资格进行最后报价。该报价将作为磋商小组确定最终成交</w:t>
      </w:r>
      <w:r>
        <w:rPr>
          <w:rFonts w:hint="eastAsia" w:ascii="宋体" w:hAnsi="宋体" w:eastAsia="宋体" w:cs="宋体"/>
          <w:sz w:val="21"/>
          <w:szCs w:val="21"/>
          <w:highlight w:val="none"/>
          <w:lang w:val="en-US" w:eastAsia="zh-CN"/>
        </w:rPr>
        <w:t>候选</w:t>
      </w:r>
      <w:r>
        <w:rPr>
          <w:rFonts w:hint="eastAsia" w:ascii="宋体" w:hAnsi="宋体" w:eastAsia="宋体" w:cs="宋体"/>
          <w:sz w:val="21"/>
          <w:szCs w:val="21"/>
          <w:highlight w:val="none"/>
        </w:rPr>
        <w:t>供应商的价格，提交最后报价的供应商不得少于3家；</w:t>
      </w:r>
      <w:r>
        <w:rPr>
          <w:rFonts w:hint="eastAsia" w:ascii="宋体" w:hAnsi="宋体" w:eastAsia="宋体" w:cs="宋体"/>
          <w:sz w:val="21"/>
          <w:szCs w:val="21"/>
          <w:highlight w:val="none"/>
          <w:lang w:val="en-US" w:eastAsia="zh-CN"/>
        </w:rPr>
        <w:t xml:space="preserve"> </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九）入围供应商应在规定时间内做出最后报价，并将报价单在报价截止时间（以开标大厅时间为准）前投入指定报价箱中。在最后报价截止时间后递交的报价将被拒收。如入围供应商未按规定要求和时间提交最后报价，将以该供应商提交的初始报价作为其最后报价。</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（十）最后报价密封后在磋商小组规定的截止时间前（以开标大厅时间为准）提交到</w:t>
      </w:r>
      <w:r>
        <w:rPr>
          <w:rFonts w:hint="eastAsia" w:ascii="宋体" w:hAnsi="宋体" w:eastAsia="宋体" w:cs="宋体"/>
          <w:sz w:val="21"/>
          <w:szCs w:val="21"/>
          <w:highlight w:val="none"/>
          <w:lang w:eastAsia="zh-CN"/>
        </w:rPr>
        <w:t>正信伟业工程咨询管理有限公司</w:t>
      </w:r>
      <w:r>
        <w:rPr>
          <w:rFonts w:hint="eastAsia" w:ascii="宋体" w:hAnsi="宋体" w:eastAsia="宋体" w:cs="宋体"/>
          <w:sz w:val="21"/>
          <w:szCs w:val="21"/>
          <w:highlight w:val="none"/>
        </w:rPr>
        <w:t>（哈尔滨市香坊区红旗大街235号投资大厦17层）开标室“最后报价提交处”（有项目名称和项目编号标识)。如供应商认为最后报价时间不足，应当场向磋商小组提交延长申请，由磋商小组研究后重新确定最后报价截止时间。重新确定最后报价截止时间后再提交的延长申请，磋商小组不予受理；</w:t>
      </w:r>
    </w:p>
    <w:p>
      <w:pPr>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（十一）出现下列情形之一的，将以该供应商提交的初始报价作为其最后报价：</w:t>
      </w:r>
    </w:p>
    <w:p>
      <w:pPr>
        <w:spacing w:line="360" w:lineRule="auto"/>
        <w:ind w:firstLine="461" w:firstLineChars="218"/>
        <w:rPr>
          <w:rFonts w:hint="eastAsia" w:ascii="宋体" w:hAnsi="宋体" w:eastAsia="宋体" w:cs="宋体"/>
          <w:sz w:val="21"/>
          <w:szCs w:val="21"/>
          <w:highlight w:val="none"/>
        </w:rPr>
      </w:pPr>
      <w:r>
        <w:rPr>
          <w:rFonts w:hint="eastAsia" w:ascii="宋体" w:hAnsi="宋体" w:eastAsia="宋体" w:cs="宋体"/>
          <w:sz w:val="21"/>
          <w:szCs w:val="21"/>
          <w:highlight w:val="none"/>
        </w:rPr>
        <w:t>（1）最后报价未按规定密封的；</w:t>
      </w:r>
    </w:p>
    <w:p>
      <w:pPr>
        <w:spacing w:line="360" w:lineRule="auto"/>
        <w:ind w:firstLine="461" w:firstLineChars="218"/>
        <w:rPr>
          <w:rFonts w:hint="eastAsia" w:ascii="宋体" w:hAnsi="宋体" w:eastAsia="宋体" w:cs="宋体"/>
          <w:sz w:val="21"/>
          <w:szCs w:val="21"/>
          <w:highlight w:val="none"/>
        </w:rPr>
      </w:pPr>
      <w:r>
        <w:rPr>
          <w:rFonts w:hint="eastAsia" w:ascii="宋体" w:hAnsi="宋体" w:eastAsia="宋体" w:cs="宋体"/>
          <w:sz w:val="21"/>
          <w:szCs w:val="21"/>
          <w:highlight w:val="none"/>
        </w:rPr>
        <w:t>（2）最后报价未在规定时间提交的；</w:t>
      </w:r>
    </w:p>
    <w:p>
      <w:pPr>
        <w:spacing w:line="360" w:lineRule="auto"/>
        <w:ind w:firstLine="461" w:firstLineChars="218"/>
        <w:rPr>
          <w:rFonts w:hint="eastAsia" w:ascii="宋体" w:hAnsi="宋体" w:eastAsia="宋体" w:cs="宋体"/>
          <w:sz w:val="21"/>
          <w:szCs w:val="21"/>
          <w:highlight w:val="none"/>
        </w:rPr>
      </w:pPr>
      <w:r>
        <w:rPr>
          <w:rFonts w:hint="eastAsia" w:ascii="宋体" w:hAnsi="宋体" w:eastAsia="宋体" w:cs="宋体"/>
          <w:sz w:val="21"/>
          <w:szCs w:val="21"/>
          <w:highlight w:val="none"/>
        </w:rPr>
        <w:t>（3）最后报价未按要求签字的；</w:t>
      </w:r>
    </w:p>
    <w:p>
      <w:pPr>
        <w:spacing w:line="360" w:lineRule="auto"/>
        <w:ind w:firstLine="461" w:firstLineChars="218"/>
        <w:rPr>
          <w:rFonts w:hint="eastAsia" w:ascii="宋体" w:hAnsi="宋体" w:eastAsia="宋体" w:cs="宋体"/>
          <w:sz w:val="21"/>
          <w:szCs w:val="21"/>
          <w:highlight w:val="none"/>
        </w:rPr>
      </w:pPr>
      <w:r>
        <w:rPr>
          <w:rFonts w:hint="eastAsia" w:ascii="宋体" w:hAnsi="宋体" w:eastAsia="宋体" w:cs="宋体"/>
          <w:sz w:val="21"/>
          <w:szCs w:val="21"/>
          <w:highlight w:val="none"/>
        </w:rPr>
        <w:t>（4）最后报价改变了初始报价中材料的品牌、规格和质量等级的。</w:t>
      </w:r>
    </w:p>
    <w:p>
      <w:pPr>
        <w:snapToGrid w:val="0"/>
        <w:spacing w:line="360" w:lineRule="auto"/>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（十二）企业信用记录核实</w:t>
      </w:r>
    </w:p>
    <w:p>
      <w:pPr>
        <w:spacing w:line="360" w:lineRule="auto"/>
        <w:ind w:firstLine="48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1、核实内容：磋商小组现场核实供应商</w:t>
      </w:r>
      <w:r>
        <w:rPr>
          <w:rFonts w:hint="eastAsia" w:ascii="宋体" w:hAnsi="宋体" w:eastAsia="宋体" w:cs="宋体"/>
          <w:kern w:val="0"/>
          <w:sz w:val="21"/>
          <w:szCs w:val="21"/>
          <w:highlight w:val="none"/>
          <w:lang w:val="en-US" w:eastAsia="zh-CN"/>
        </w:rPr>
        <w:t>是否被“</w:t>
      </w:r>
      <w:r>
        <w:rPr>
          <w:rFonts w:hint="eastAsia" w:ascii="宋体" w:hAnsi="宋体" w:eastAsia="宋体" w:cs="宋体"/>
          <w:kern w:val="0"/>
          <w:sz w:val="21"/>
          <w:szCs w:val="21"/>
          <w:highlight w:val="none"/>
        </w:rPr>
        <w:t>列入失信被执行人</w:t>
      </w:r>
      <w:r>
        <w:rPr>
          <w:rFonts w:hint="eastAsia" w:ascii="宋体" w:hAnsi="宋体" w:eastAsia="宋体" w:cs="宋体"/>
          <w:kern w:val="0"/>
          <w:sz w:val="21"/>
          <w:szCs w:val="21"/>
          <w:highlight w:val="none"/>
          <w:lang w:eastAsia="zh-CN"/>
        </w:rPr>
        <w:t>”</w:t>
      </w:r>
      <w:r>
        <w:rPr>
          <w:rFonts w:hint="eastAsia" w:ascii="宋体" w:hAnsi="宋体" w:eastAsia="宋体" w:cs="宋体"/>
          <w:kern w:val="0"/>
          <w:sz w:val="21"/>
          <w:szCs w:val="21"/>
          <w:highlight w:val="none"/>
        </w:rPr>
        <w:t>、</w:t>
      </w:r>
      <w:r>
        <w:rPr>
          <w:rFonts w:hint="eastAsia" w:ascii="宋体" w:hAnsi="宋体" w:eastAsia="宋体" w:cs="宋体"/>
          <w:kern w:val="0"/>
          <w:sz w:val="21"/>
          <w:szCs w:val="21"/>
          <w:highlight w:val="none"/>
          <w:lang w:eastAsia="zh-CN"/>
        </w:rPr>
        <w:t>“</w:t>
      </w:r>
      <w:r>
        <w:rPr>
          <w:rFonts w:hint="eastAsia" w:ascii="宋体" w:hAnsi="宋体" w:eastAsia="宋体" w:cs="宋体"/>
          <w:kern w:val="0"/>
          <w:sz w:val="21"/>
          <w:szCs w:val="21"/>
          <w:highlight w:val="none"/>
        </w:rPr>
        <w:t>重大税收违法案件当事人名单</w:t>
      </w:r>
      <w:r>
        <w:rPr>
          <w:rFonts w:hint="eastAsia" w:ascii="宋体" w:hAnsi="宋体" w:eastAsia="宋体" w:cs="宋体"/>
          <w:kern w:val="0"/>
          <w:sz w:val="21"/>
          <w:szCs w:val="21"/>
          <w:highlight w:val="none"/>
          <w:lang w:eastAsia="zh-CN"/>
        </w:rPr>
        <w:t>”</w:t>
      </w:r>
      <w:r>
        <w:rPr>
          <w:rFonts w:hint="eastAsia" w:ascii="宋体" w:hAnsi="宋体" w:eastAsia="宋体" w:cs="宋体"/>
          <w:kern w:val="0"/>
          <w:sz w:val="21"/>
          <w:szCs w:val="21"/>
          <w:highlight w:val="none"/>
        </w:rPr>
        <w:t>、</w:t>
      </w:r>
      <w:r>
        <w:rPr>
          <w:rFonts w:hint="eastAsia" w:ascii="宋体" w:hAnsi="宋体" w:eastAsia="宋体" w:cs="宋体"/>
          <w:kern w:val="0"/>
          <w:sz w:val="21"/>
          <w:szCs w:val="21"/>
          <w:highlight w:val="none"/>
          <w:lang w:val="en-US" w:eastAsia="zh-CN"/>
        </w:rPr>
        <w:t>“</w:t>
      </w:r>
      <w:r>
        <w:rPr>
          <w:rFonts w:hint="eastAsia" w:ascii="宋体" w:hAnsi="宋体" w:eastAsia="宋体" w:cs="宋体"/>
          <w:kern w:val="0"/>
          <w:sz w:val="21"/>
          <w:szCs w:val="21"/>
          <w:highlight w:val="none"/>
        </w:rPr>
        <w:t>以及政府采购严重违法失信行为记录名单</w:t>
      </w:r>
      <w:r>
        <w:rPr>
          <w:rFonts w:hint="eastAsia" w:ascii="宋体" w:hAnsi="宋体" w:eastAsia="宋体" w:cs="宋体"/>
          <w:kern w:val="0"/>
          <w:sz w:val="21"/>
          <w:szCs w:val="21"/>
          <w:highlight w:val="none"/>
          <w:lang w:eastAsia="zh-CN"/>
        </w:rPr>
        <w:t>”</w:t>
      </w:r>
      <w:r>
        <w:rPr>
          <w:rFonts w:hint="eastAsia" w:ascii="宋体" w:hAnsi="宋体" w:eastAsia="宋体" w:cs="宋体"/>
          <w:kern w:val="0"/>
          <w:sz w:val="21"/>
          <w:szCs w:val="21"/>
          <w:highlight w:val="none"/>
        </w:rPr>
        <w:t>；</w:t>
      </w:r>
    </w:p>
    <w:p>
      <w:pPr>
        <w:spacing w:line="360" w:lineRule="auto"/>
        <w:ind w:firstLine="48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2、核实路径：</w:t>
      </w:r>
    </w:p>
    <w:p>
      <w:pPr>
        <w:spacing w:line="360" w:lineRule="auto"/>
        <w:ind w:firstLine="48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（1）“信用中国”（</w:t>
      </w:r>
      <w:r>
        <w:rPr>
          <w:rFonts w:hint="eastAsia" w:ascii="宋体" w:hAnsi="宋体" w:eastAsia="宋体" w:cs="宋体"/>
          <w:kern w:val="0"/>
          <w:sz w:val="21"/>
          <w:szCs w:val="21"/>
          <w:highlight w:val="none"/>
        </w:rPr>
        <w:drawing>
          <wp:inline distT="0" distB="0" distL="0" distR="0">
            <wp:extent cx="190500" cy="142875"/>
            <wp:effectExtent l="19050" t="0" r="0" b="0"/>
            <wp:docPr id="1" name="图片 3"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7"/>
                    <pic:cNvPicPr>
                      <a:picLocks noChangeAspect="1" noChangeArrowheads="1"/>
                    </pic:cNvPicPr>
                  </pic:nvPicPr>
                  <pic:blipFill>
                    <a:blip r:embed="rId9" cstate="print"/>
                    <a:srcRect/>
                    <a:stretch>
                      <a:fillRect/>
                    </a:stretch>
                  </pic:blipFill>
                  <pic:spPr>
                    <a:xfrm>
                      <a:off x="0" y="0"/>
                      <a:ext cx="190500" cy="142875"/>
                    </a:xfrm>
                    <a:prstGeom prst="rect">
                      <a:avLst/>
                    </a:prstGeom>
                    <a:noFill/>
                    <a:ln w="9525">
                      <a:noFill/>
                      <a:miter lim="800000"/>
                      <a:headEnd/>
                      <a:tailEnd/>
                    </a:ln>
                  </pic:spPr>
                </pic:pic>
              </a:graphicData>
            </a:graphic>
          </wp:inline>
        </w:drawing>
      </w:r>
      <w:r>
        <w:rPr>
          <w:rFonts w:hint="eastAsia" w:ascii="宋体" w:hAnsi="宋体" w:eastAsia="宋体" w:cs="宋体"/>
          <w:kern w:val="0"/>
          <w:sz w:val="21"/>
          <w:szCs w:val="21"/>
          <w:highlight w:val="none"/>
        </w:rPr>
        <w:t>http://www.creditchina.gov.cn）；</w:t>
      </w:r>
    </w:p>
    <w:p>
      <w:pPr>
        <w:spacing w:line="360" w:lineRule="auto"/>
        <w:ind w:firstLine="48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rPr>
        <w:t>（2）“中国政府采购网”（网址：</w:t>
      </w:r>
      <w:r>
        <w:rPr>
          <w:rFonts w:hint="eastAsia" w:ascii="宋体" w:hAnsi="宋体" w:eastAsia="宋体" w:cs="宋体"/>
          <w:kern w:val="0"/>
          <w:sz w:val="21"/>
          <w:szCs w:val="21"/>
          <w:highlight w:val="none"/>
        </w:rPr>
        <w:drawing>
          <wp:inline distT="0" distB="0" distL="0" distR="0">
            <wp:extent cx="190500" cy="142875"/>
            <wp:effectExtent l="19050" t="0" r="0" b="0"/>
            <wp:docPr id="2" name="图片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7"/>
                    <pic:cNvPicPr>
                      <a:picLocks noChangeAspect="1" noChangeArrowheads="1"/>
                    </pic:cNvPicPr>
                  </pic:nvPicPr>
                  <pic:blipFill>
                    <a:blip r:embed="rId9" cstate="print"/>
                    <a:srcRect/>
                    <a:stretch>
                      <a:fillRect/>
                    </a:stretch>
                  </pic:blipFill>
                  <pic:spPr>
                    <a:xfrm>
                      <a:off x="0" y="0"/>
                      <a:ext cx="190500" cy="142875"/>
                    </a:xfrm>
                    <a:prstGeom prst="rect">
                      <a:avLst/>
                    </a:prstGeom>
                    <a:noFill/>
                    <a:ln w="9525">
                      <a:noFill/>
                      <a:miter lim="800000"/>
                      <a:headEnd/>
                      <a:tailEnd/>
                    </a:ln>
                  </pic:spPr>
                </pic:pic>
              </a:graphicData>
            </a:graphic>
          </wp:inline>
        </w:drawing>
      </w:r>
      <w:r>
        <w:rPr>
          <w:rFonts w:hint="eastAsia" w:ascii="宋体" w:hAnsi="宋体" w:eastAsia="宋体" w:cs="宋体"/>
          <w:kern w:val="0"/>
          <w:sz w:val="21"/>
          <w:szCs w:val="21"/>
          <w:highlight w:val="none"/>
        </w:rPr>
        <w:t>http://www.ccgp.gov.cn/cr/list）；</w:t>
      </w:r>
    </w:p>
    <w:p>
      <w:pPr>
        <w:spacing w:line="360" w:lineRule="auto"/>
        <w:ind w:firstLine="480"/>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eastAsia="zh-CN"/>
        </w:rPr>
        <w:t>（</w:t>
      </w:r>
      <w:r>
        <w:rPr>
          <w:rFonts w:hint="eastAsia" w:ascii="宋体" w:hAnsi="宋体" w:eastAsia="宋体" w:cs="宋体"/>
          <w:kern w:val="0"/>
          <w:sz w:val="21"/>
          <w:szCs w:val="21"/>
          <w:highlight w:val="none"/>
        </w:rPr>
        <w:t>3）“国家企业信用信息公示系统”（http://www.gsxt.gov.cn/index.html）</w:t>
      </w:r>
    </w:p>
    <w:p>
      <w:pPr>
        <w:spacing w:line="360" w:lineRule="auto"/>
        <w:ind w:firstLine="480"/>
        <w:rPr>
          <w:rFonts w:hint="eastAsia" w:ascii="宋体" w:hAnsi="宋体" w:eastAsia="宋体" w:cs="宋体"/>
          <w:sz w:val="21"/>
          <w:szCs w:val="21"/>
          <w:highlight w:val="none"/>
        </w:rPr>
      </w:pPr>
      <w:r>
        <w:rPr>
          <w:rFonts w:hint="eastAsia" w:ascii="宋体" w:hAnsi="宋体" w:eastAsia="宋体" w:cs="宋体"/>
          <w:kern w:val="0"/>
          <w:sz w:val="21"/>
          <w:szCs w:val="21"/>
          <w:highlight w:val="none"/>
        </w:rPr>
        <w:t xml:space="preserve"> 磋商小组应按竞争性磋商文件规定的查询网站、核实事项现场开展核实工作，以官方网站公开发布的严重违法失信行为记录作为判定事实的依据，如发现供应商三年内有不良信用记录，则报价无效；</w:t>
      </w:r>
    </w:p>
    <w:p>
      <w:pPr>
        <w:snapToGrid w:val="0"/>
        <w:spacing w:line="360" w:lineRule="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 xml:space="preserve">十九、评审方法和原则 </w:t>
      </w:r>
    </w:p>
    <w:p>
      <w:pPr>
        <w:snapToGrid w:val="0"/>
        <w:spacing w:line="360" w:lineRule="auto"/>
        <w:ind w:firstLine="461" w:firstLineChars="218"/>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1、本项目采用综合评分法</w:t>
      </w:r>
      <w:r>
        <w:rPr>
          <w:rFonts w:hint="default" w:ascii="宋体" w:hAnsi="宋体" w:eastAsia="宋体" w:cs="宋体"/>
          <w:sz w:val="21"/>
          <w:szCs w:val="21"/>
          <w:highlight w:val="none"/>
          <w:lang w:val="en-US"/>
        </w:rPr>
        <w:t>,</w:t>
      </w:r>
      <w:r>
        <w:rPr>
          <w:rFonts w:hint="eastAsia" w:ascii="宋体" w:hAnsi="宋体" w:eastAsia="宋体" w:cs="宋体"/>
          <w:sz w:val="21"/>
          <w:szCs w:val="21"/>
          <w:highlight w:val="none"/>
          <w:lang w:val="en-US" w:eastAsia="zh-CN"/>
        </w:rPr>
        <w:t>满分为100分</w:t>
      </w:r>
      <w:r>
        <w:rPr>
          <w:rFonts w:hint="eastAsia" w:ascii="宋体" w:hAnsi="宋体" w:eastAsia="宋体" w:cs="宋体"/>
          <w:sz w:val="21"/>
          <w:szCs w:val="21"/>
          <w:highlight w:val="none"/>
          <w:lang w:eastAsia="zh-CN"/>
        </w:rPr>
        <w:t>。</w:t>
      </w:r>
    </w:p>
    <w:p>
      <w:pPr>
        <w:snapToGrid w:val="0"/>
        <w:spacing w:line="360" w:lineRule="auto"/>
        <w:ind w:firstLine="461" w:firstLineChars="218"/>
        <w:rPr>
          <w:rFonts w:hint="eastAsia" w:ascii="宋体" w:hAnsi="宋体" w:eastAsia="宋体" w:cs="宋体"/>
          <w:sz w:val="21"/>
          <w:szCs w:val="21"/>
          <w:highlight w:val="none"/>
        </w:rPr>
      </w:pPr>
      <w:r>
        <w:rPr>
          <w:rFonts w:hint="eastAsia" w:ascii="宋体" w:hAnsi="宋体" w:eastAsia="宋体" w:cs="宋体"/>
          <w:sz w:val="21"/>
          <w:szCs w:val="21"/>
          <w:highlight w:val="none"/>
        </w:rPr>
        <w:t>2、最后报价的分值统一采用低价优先法计算，即满足磋商文件要求且最后报价最低的报价为磋商基准价，其价格分为满分。其他入围供应商的最后报价得分统一按照下列公式计算：</w:t>
      </w:r>
    </w:p>
    <w:p>
      <w:pPr>
        <w:snapToGrid w:val="0"/>
        <w:spacing w:line="360" w:lineRule="auto"/>
        <w:ind w:firstLine="461" w:firstLineChars="218"/>
        <w:rPr>
          <w:rFonts w:hint="default" w:ascii="宋体" w:hAnsi="宋体" w:eastAsia="宋体" w:cs="宋体"/>
          <w:sz w:val="21"/>
          <w:szCs w:val="21"/>
          <w:highlight w:val="none"/>
          <w:lang w:val="en-US" w:eastAsia="zh-CN"/>
        </w:rPr>
      </w:pPr>
      <w:r>
        <w:rPr>
          <w:rFonts w:hint="eastAsia" w:ascii="宋体" w:hAnsi="宋体" w:eastAsia="宋体" w:cs="宋体"/>
          <w:sz w:val="21"/>
          <w:szCs w:val="21"/>
          <w:highlight w:val="none"/>
        </w:rPr>
        <w:t>最后报价得分＝（磋商基准价/最后报价）×</w:t>
      </w:r>
      <w:r>
        <w:rPr>
          <w:rFonts w:hint="eastAsia" w:ascii="宋体" w:hAnsi="宋体" w:eastAsia="宋体" w:cs="宋体"/>
          <w:sz w:val="21"/>
          <w:szCs w:val="21"/>
          <w:highlight w:val="none"/>
          <w:lang w:val="en-US" w:eastAsia="zh-CN"/>
        </w:rPr>
        <w:t>30</w:t>
      </w:r>
    </w:p>
    <w:p>
      <w:pPr>
        <w:snapToGrid w:val="0"/>
        <w:spacing w:line="360" w:lineRule="auto"/>
        <w:ind w:firstLine="461" w:firstLineChars="218"/>
        <w:rPr>
          <w:rFonts w:hint="eastAsia" w:ascii="宋体" w:hAnsi="宋体" w:eastAsia="宋体" w:cs="宋体"/>
          <w:sz w:val="21"/>
          <w:szCs w:val="21"/>
          <w:highlight w:val="none"/>
        </w:rPr>
      </w:pPr>
      <w:r>
        <w:rPr>
          <w:rFonts w:hint="eastAsia" w:ascii="宋体" w:hAnsi="宋体" w:eastAsia="宋体" w:cs="宋体"/>
          <w:sz w:val="21"/>
          <w:szCs w:val="21"/>
          <w:highlight w:val="none"/>
        </w:rPr>
        <w:t>对小型、微型企业产品的最后报价给予</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%的价格扣除，用扣除后的价格参与评审。评审价=最后报价-最后报价×</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%，其评审价可以作为磋商基准价。</w:t>
      </w:r>
    </w:p>
    <w:p>
      <w:pPr>
        <w:snapToGrid w:val="0"/>
        <w:spacing w:line="360" w:lineRule="auto"/>
        <w:ind w:firstLine="461" w:firstLineChars="218"/>
        <w:rPr>
          <w:rFonts w:hint="eastAsia" w:ascii="宋体" w:hAnsi="宋体" w:cs="宋体"/>
          <w:szCs w:val="21"/>
          <w:lang w:eastAsia="zh-CN"/>
        </w:rPr>
      </w:pPr>
      <w:r>
        <w:rPr>
          <w:rFonts w:hint="eastAsia" w:ascii="宋体" w:hAnsi="宋体" w:cs="宋体"/>
          <w:szCs w:val="21"/>
        </w:rPr>
        <w:t>将供应商的综合得分按从高到低顺序排列，排在第一位的即为成交候选供应商。得分相同时，按最后报价由低到高顺序推荐；得分相同且最后报价相同的，按技术</w:t>
      </w:r>
      <w:r>
        <w:rPr>
          <w:rFonts w:hint="eastAsia" w:ascii="宋体" w:hAnsi="宋体" w:cs="宋体"/>
          <w:szCs w:val="21"/>
          <w:lang w:eastAsia="zh-CN"/>
        </w:rPr>
        <w:t>部分得分由高到低的</w:t>
      </w:r>
      <w:r>
        <w:rPr>
          <w:rFonts w:hint="eastAsia" w:ascii="宋体" w:hAnsi="宋体" w:cs="宋体"/>
          <w:szCs w:val="21"/>
        </w:rPr>
        <w:t>顺序推荐</w:t>
      </w:r>
      <w:r>
        <w:rPr>
          <w:rFonts w:hint="eastAsia" w:ascii="宋体" w:hAnsi="宋体" w:cs="宋体"/>
          <w:szCs w:val="21"/>
          <w:lang w:eastAsia="zh-CN"/>
        </w:rPr>
        <w:t>；技术部分得分也相同的，由采购人委托磋商小组采取随机抽取的方式确定成交供应商。</w:t>
      </w:r>
    </w:p>
    <w:p>
      <w:pPr>
        <w:snapToGrid w:val="0"/>
        <w:spacing w:line="360" w:lineRule="auto"/>
        <w:ind w:firstLine="461" w:firstLineChars="218"/>
        <w:rPr>
          <w:rFonts w:hint="eastAsia" w:ascii="宋体" w:hAnsi="宋体" w:cs="宋体"/>
          <w:szCs w:val="21"/>
        </w:rPr>
      </w:pPr>
      <w:r>
        <w:rPr>
          <w:rFonts w:hint="eastAsia" w:ascii="宋体" w:hAnsi="宋体" w:cs="宋体"/>
          <w:szCs w:val="21"/>
        </w:rPr>
        <w:t>3、评审优惠政策</w:t>
      </w:r>
    </w:p>
    <w:p>
      <w:pPr>
        <w:snapToGrid w:val="0"/>
        <w:spacing w:line="360" w:lineRule="auto"/>
        <w:ind w:firstLine="461" w:firstLineChars="218"/>
        <w:rPr>
          <w:rFonts w:hint="eastAsia" w:ascii="宋体" w:hAnsi="宋体" w:cs="宋体"/>
          <w:szCs w:val="21"/>
        </w:rPr>
      </w:pPr>
      <w:r>
        <w:rPr>
          <w:rFonts w:hint="eastAsia" w:ascii="宋体" w:hAnsi="宋体" w:cs="宋体"/>
          <w:szCs w:val="21"/>
        </w:rPr>
        <w:t xml:space="preserve">A </w:t>
      </w:r>
      <w:r>
        <w:rPr>
          <w:rFonts w:hint="eastAsia" w:ascii="宋体" w:hAnsi="宋体" w:cs="宋体"/>
          <w:szCs w:val="21"/>
          <w:lang w:eastAsia="zh-CN"/>
        </w:rPr>
        <w:t>、</w:t>
      </w:r>
      <w:r>
        <w:rPr>
          <w:rFonts w:hint="eastAsia" w:ascii="宋体" w:hAnsi="宋体" w:cs="宋体"/>
          <w:szCs w:val="21"/>
        </w:rPr>
        <w:t>根据财库〔2019〕9号文件规定，供应商所投产品涉及财库〔2019〕19号文件规定的节能产品政府采购品目清单中以“★”标注的产品（A020101 计算机设备、A020523 制冷空调设备、A020609 镇流器、A0206180203 空调机、电热水器、普通照明用双端荧光灯、A020910 电视设备、A020911 视频设备、A060805 便器、A060806 水嘴）必须采用节能清单中产品，磋商响应文件中应提供节能产品、环境标志产品认证证书或中国政府采购网（www.ccgp.gov.cn）的认证截图，否则其投标将被否决。</w:t>
      </w:r>
    </w:p>
    <w:p>
      <w:pPr>
        <w:snapToGrid w:val="0"/>
        <w:spacing w:line="360" w:lineRule="auto"/>
        <w:ind w:firstLine="461" w:firstLineChars="218"/>
        <w:rPr>
          <w:rFonts w:hint="eastAsia" w:ascii="宋体" w:hAnsi="宋体" w:cs="宋体"/>
          <w:szCs w:val="21"/>
        </w:rPr>
      </w:pPr>
      <w:r>
        <w:rPr>
          <w:rFonts w:hint="eastAsia" w:ascii="宋体" w:hAnsi="宋体" w:cs="宋体"/>
          <w:szCs w:val="21"/>
        </w:rPr>
        <w:t>B</w:t>
      </w:r>
      <w:r>
        <w:rPr>
          <w:rFonts w:hint="eastAsia" w:ascii="宋体" w:hAnsi="宋体" w:cs="宋体"/>
          <w:szCs w:val="21"/>
          <w:lang w:eastAsia="zh-CN"/>
        </w:rPr>
        <w:t>、</w:t>
      </w:r>
      <w:r>
        <w:rPr>
          <w:rFonts w:hint="eastAsia" w:ascii="宋体" w:hAnsi="宋体" w:cs="宋体"/>
          <w:szCs w:val="21"/>
        </w:rPr>
        <w:t>根据《关于印发环境标志产品政府采购品目清单的通知》(财库〔2019〕18号)文件规定。投标产品属于清单中品目的，在性能、技术、服务等指标同等、报价相同的条件下，优先采购清单中的产品。</w:t>
      </w:r>
    </w:p>
    <w:p>
      <w:pPr>
        <w:snapToGrid w:val="0"/>
        <w:spacing w:line="360" w:lineRule="auto"/>
        <w:ind w:firstLine="461" w:firstLineChars="218"/>
        <w:rPr>
          <w:rFonts w:hint="eastAsia" w:ascii="宋体" w:hAnsi="宋体" w:cs="宋体"/>
          <w:szCs w:val="21"/>
          <w:highlight w:val="none"/>
        </w:rPr>
      </w:pPr>
      <w:r>
        <w:rPr>
          <w:rFonts w:hint="eastAsia" w:ascii="宋体" w:hAnsi="宋体" w:cs="宋体"/>
          <w:szCs w:val="21"/>
        </w:rPr>
        <w:t>C、根据财库［2011］181号文件规定，非专门面向中小企业的项目，对小型和微型企业产品的最后报价给予</w:t>
      </w:r>
      <w:r>
        <w:rPr>
          <w:rFonts w:hint="eastAsia" w:ascii="宋体" w:hAnsi="宋体" w:cs="宋体"/>
          <w:szCs w:val="21"/>
          <w:highlight w:val="none"/>
          <w:lang w:val="en-US" w:eastAsia="zh-CN"/>
        </w:rPr>
        <w:t>6</w:t>
      </w:r>
      <w:r>
        <w:rPr>
          <w:rFonts w:hint="eastAsia" w:ascii="宋体" w:hAnsi="宋体" w:cs="宋体"/>
          <w:szCs w:val="21"/>
          <w:highlight w:val="none"/>
        </w:rPr>
        <w:t>%的扣除，用扣除后的价格参与评审。</w:t>
      </w:r>
    </w:p>
    <w:p>
      <w:pPr>
        <w:snapToGrid w:val="0"/>
        <w:spacing w:line="360" w:lineRule="auto"/>
        <w:ind w:firstLine="461"/>
        <w:rPr>
          <w:rFonts w:hint="eastAsia" w:ascii="宋体"/>
          <w:highlight w:val="none"/>
        </w:rPr>
      </w:pPr>
      <w:r>
        <w:rPr>
          <w:rFonts w:hint="eastAsia" w:ascii="宋体"/>
          <w:highlight w:val="none"/>
        </w:rPr>
        <w:t>D、根据财政部发布的《关于政府采购支持监狱企业发展有关问题的通知》规定，对监狱企业产品的价格给予</w:t>
      </w:r>
      <w:r>
        <w:rPr>
          <w:rFonts w:hint="eastAsia" w:ascii="宋体"/>
          <w:highlight w:val="none"/>
          <w:lang w:val="en-US" w:eastAsia="zh-CN"/>
        </w:rPr>
        <w:t>6</w:t>
      </w:r>
      <w:r>
        <w:rPr>
          <w:rFonts w:hint="eastAsia" w:ascii="宋体"/>
          <w:highlight w:val="none"/>
        </w:rPr>
        <w:t>%的扣除。</w:t>
      </w:r>
    </w:p>
    <w:p>
      <w:pPr>
        <w:snapToGrid w:val="0"/>
        <w:spacing w:line="360" w:lineRule="auto"/>
        <w:ind w:firstLine="461"/>
        <w:rPr>
          <w:rFonts w:hint="eastAsia" w:ascii="宋体"/>
          <w:highlight w:val="none"/>
        </w:rPr>
      </w:pPr>
      <w:r>
        <w:rPr>
          <w:rFonts w:hint="eastAsia" w:ascii="宋体"/>
          <w:highlight w:val="none"/>
        </w:rPr>
        <w:t>E、根据财政部发布的《关于促进残疾人就业政府采购政策的通知》规定，对残疾人福利性单位产品的价格给予</w:t>
      </w:r>
      <w:r>
        <w:rPr>
          <w:rFonts w:hint="eastAsia" w:ascii="宋体"/>
          <w:highlight w:val="none"/>
          <w:lang w:val="en-US" w:eastAsia="zh-CN"/>
        </w:rPr>
        <w:t>6</w:t>
      </w:r>
      <w:r>
        <w:rPr>
          <w:rFonts w:hint="eastAsia" w:ascii="宋体"/>
          <w:highlight w:val="none"/>
        </w:rPr>
        <w:t>%的扣除。</w:t>
      </w:r>
    </w:p>
    <w:p>
      <w:pPr>
        <w:snapToGrid w:val="0"/>
        <w:spacing w:line="360" w:lineRule="auto"/>
        <w:ind w:firstLine="461"/>
        <w:rPr>
          <w:rFonts w:hint="eastAsia" w:ascii="宋体"/>
        </w:rPr>
      </w:pPr>
      <w:r>
        <w:rPr>
          <w:rFonts w:hint="eastAsia" w:ascii="宋体"/>
        </w:rPr>
        <w:t>注：★采购人所采购的产品属于国家有关安全、节能、环保等强制性标准，供应商所投产品必须同时满足强制标准和本项目采购要求。</w:t>
      </w:r>
    </w:p>
    <w:p>
      <w:pPr>
        <w:numPr>
          <w:ilvl w:val="0"/>
          <w:numId w:val="0"/>
        </w:numPr>
        <w:snapToGrid w:val="0"/>
        <w:spacing w:line="360" w:lineRule="auto"/>
        <w:ind w:firstLine="424" w:firstLineChars="200"/>
        <w:rPr>
          <w:rFonts w:hint="eastAsia" w:ascii="宋体" w:hAnsi="宋体" w:eastAsia="宋体" w:cs="宋体"/>
          <w:sz w:val="21"/>
          <w:szCs w:val="21"/>
          <w:highlight w:val="none"/>
        </w:rPr>
      </w:pPr>
      <w:r>
        <w:rPr>
          <w:rFonts w:hint="eastAsia" w:ascii="宋体"/>
          <w:lang w:val="en-US" w:eastAsia="zh-CN"/>
        </w:rPr>
        <w:t>4、</w:t>
      </w:r>
      <w:r>
        <w:rPr>
          <w:rFonts w:hint="eastAsia" w:ascii="宋体"/>
        </w:rPr>
        <w:t>小微企业以供应商填写的《中小企业声明函》为判定标准，残疾人福利性单位以供应商填写的《残疾人福利性单位声明函》为判定标准，监狱企业须提供由省级以上监狱管理局、戒毒管理局（含新疆生产建设兵团）出具的属于监狱企业的证明文件，否则不予认定。以上政策不重复享受。</w:t>
      </w:r>
    </w:p>
    <w:p>
      <w:pPr>
        <w:numPr>
          <w:ilvl w:val="0"/>
          <w:numId w:val="0"/>
        </w:numPr>
        <w:snapToGrid w:val="0"/>
        <w:spacing w:line="360" w:lineRule="auto"/>
        <w:ind w:firstLine="424"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5、</w:t>
      </w:r>
      <w:r>
        <w:rPr>
          <w:rFonts w:hint="eastAsia" w:ascii="宋体" w:hAnsi="宋体" w:eastAsia="宋体" w:cs="宋体"/>
          <w:sz w:val="21"/>
          <w:szCs w:val="21"/>
          <w:highlight w:val="none"/>
        </w:rPr>
        <w:t>磋商小组认为，排在前面的成交候选供应商最后报价或者某些分项报价明显不合理，有可能影响产品质量或不能诚信履约的，应当要求其在规定时间内提供书面文件予以解释说明，并提供相关证明材料；否则，磋商小组可以取消该供应商的成交候选供应商资格。</w:t>
      </w:r>
      <w:r>
        <w:rPr>
          <w:rFonts w:hint="eastAsia" w:ascii="宋体" w:hAnsi="宋体" w:eastAsia="宋体" w:cs="宋体"/>
          <w:b/>
          <w:sz w:val="21"/>
          <w:szCs w:val="21"/>
          <w:highlight w:val="none"/>
        </w:rPr>
        <w:br w:type="page"/>
      </w:r>
    </w:p>
    <w:p>
      <w:pPr>
        <w:snapToGrid w:val="0"/>
        <w:spacing w:line="360" w:lineRule="auto"/>
        <w:ind w:firstLine="424" w:firstLineChars="200"/>
        <w:jc w:val="center"/>
        <w:rPr>
          <w:rFonts w:hint="eastAsia" w:ascii="宋体" w:hAnsi="宋体" w:eastAsia="宋体" w:cs="宋体"/>
          <w:b/>
          <w:sz w:val="21"/>
          <w:szCs w:val="21"/>
          <w:highlight w:val="none"/>
        </w:rPr>
      </w:pPr>
    </w:p>
    <w:p>
      <w:pPr>
        <w:snapToGrid w:val="0"/>
        <w:spacing w:line="360" w:lineRule="auto"/>
        <w:ind w:firstLine="604" w:firstLineChars="200"/>
        <w:jc w:val="center"/>
        <w:rPr>
          <w:rFonts w:hint="eastAsia" w:ascii="宋体" w:hAnsi="宋体" w:eastAsia="宋体" w:cs="宋体"/>
          <w:b/>
          <w:sz w:val="30"/>
          <w:szCs w:val="30"/>
          <w:highlight w:val="none"/>
        </w:rPr>
      </w:pPr>
      <w:r>
        <w:rPr>
          <w:rFonts w:hint="eastAsia" w:ascii="宋体" w:hAnsi="宋体" w:eastAsia="宋体" w:cs="宋体"/>
          <w:b/>
          <w:sz w:val="30"/>
          <w:szCs w:val="30"/>
          <w:highlight w:val="none"/>
        </w:rPr>
        <w:t>评分标准和评分细则</w:t>
      </w:r>
    </w:p>
    <w:tbl>
      <w:tblPr>
        <w:tblStyle w:val="19"/>
        <w:tblW w:w="7988" w:type="dxa"/>
        <w:jc w:val="center"/>
        <w:tblLayout w:type="fixed"/>
        <w:tblCellMar>
          <w:top w:w="15" w:type="dxa"/>
          <w:left w:w="15" w:type="dxa"/>
          <w:bottom w:w="15" w:type="dxa"/>
          <w:right w:w="15" w:type="dxa"/>
        </w:tblCellMar>
      </w:tblPr>
      <w:tblGrid>
        <w:gridCol w:w="837"/>
        <w:gridCol w:w="1198"/>
        <w:gridCol w:w="909"/>
        <w:gridCol w:w="5044"/>
      </w:tblGrid>
      <w:tr>
        <w:tblPrEx>
          <w:tblCellMar>
            <w:top w:w="15" w:type="dxa"/>
            <w:left w:w="15" w:type="dxa"/>
            <w:bottom w:w="15" w:type="dxa"/>
            <w:right w:w="15" w:type="dxa"/>
          </w:tblCellMar>
        </w:tblPrEx>
        <w:trPr>
          <w:trHeight w:val="495" w:hRule="atLeast"/>
          <w:jc w:val="center"/>
        </w:trPr>
        <w:tc>
          <w:tcPr>
            <w:tcW w:w="8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eastAsia="宋体" w:cs="宋体"/>
                <w:b/>
                <w:bCs/>
                <w:sz w:val="21"/>
                <w:szCs w:val="21"/>
              </w:rPr>
            </w:pPr>
            <w:r>
              <w:rPr>
                <w:rFonts w:hint="eastAsia" w:ascii="宋体" w:hAnsi="宋体" w:eastAsia="宋体" w:cs="宋体"/>
                <w:b/>
                <w:bCs/>
                <w:kern w:val="0"/>
                <w:sz w:val="21"/>
                <w:szCs w:val="21"/>
              </w:rPr>
              <w:t>序号</w:t>
            </w:r>
          </w:p>
        </w:tc>
        <w:tc>
          <w:tcPr>
            <w:tcW w:w="11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eastAsia="宋体" w:cs="宋体"/>
                <w:b/>
                <w:bCs/>
                <w:sz w:val="21"/>
                <w:szCs w:val="21"/>
              </w:rPr>
            </w:pPr>
            <w:r>
              <w:rPr>
                <w:rFonts w:hint="eastAsia" w:ascii="宋体" w:hAnsi="宋体" w:eastAsia="宋体" w:cs="宋体"/>
                <w:b/>
                <w:bCs/>
                <w:kern w:val="0"/>
                <w:sz w:val="21"/>
                <w:szCs w:val="21"/>
              </w:rPr>
              <w:t>评审项目</w:t>
            </w:r>
          </w:p>
        </w:tc>
        <w:tc>
          <w:tcPr>
            <w:tcW w:w="9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eastAsia="宋体" w:cs="宋体"/>
                <w:b/>
                <w:bCs/>
                <w:kern w:val="0"/>
                <w:sz w:val="21"/>
                <w:szCs w:val="21"/>
                <w:lang w:eastAsia="zh-CN"/>
              </w:rPr>
            </w:pPr>
            <w:r>
              <w:rPr>
                <w:rFonts w:hint="eastAsia" w:ascii="宋体" w:hAnsi="宋体" w:eastAsia="宋体" w:cs="宋体"/>
                <w:b/>
                <w:bCs/>
                <w:kern w:val="0"/>
                <w:sz w:val="21"/>
                <w:szCs w:val="21"/>
              </w:rPr>
              <w:t>标准分值</w:t>
            </w:r>
            <w:r>
              <w:rPr>
                <w:rFonts w:hint="eastAsia" w:ascii="宋体" w:hAnsi="宋体" w:eastAsia="宋体" w:cs="宋体"/>
                <w:b/>
                <w:bCs/>
                <w:kern w:val="0"/>
                <w:sz w:val="21"/>
                <w:szCs w:val="21"/>
                <w:lang w:eastAsia="zh-CN"/>
              </w:rPr>
              <w:t>（</w:t>
            </w:r>
            <w:r>
              <w:rPr>
                <w:rFonts w:hint="eastAsia" w:ascii="宋体" w:hAnsi="宋体" w:eastAsia="宋体" w:cs="宋体"/>
                <w:b/>
                <w:bCs/>
                <w:kern w:val="0"/>
                <w:sz w:val="21"/>
                <w:szCs w:val="21"/>
                <w:lang w:val="en-US" w:eastAsia="zh-CN"/>
              </w:rPr>
              <w:t>分</w:t>
            </w:r>
            <w:r>
              <w:rPr>
                <w:rFonts w:hint="eastAsia" w:ascii="宋体" w:hAnsi="宋体" w:eastAsia="宋体" w:cs="宋体"/>
                <w:b/>
                <w:bCs/>
                <w:kern w:val="0"/>
                <w:sz w:val="21"/>
                <w:szCs w:val="21"/>
                <w:lang w:eastAsia="zh-CN"/>
              </w:rPr>
              <w:t>）</w:t>
            </w:r>
          </w:p>
        </w:tc>
        <w:tc>
          <w:tcPr>
            <w:tcW w:w="50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eastAsia="宋体" w:cs="宋体"/>
                <w:b/>
                <w:bCs/>
                <w:sz w:val="21"/>
                <w:szCs w:val="21"/>
              </w:rPr>
            </w:pPr>
            <w:r>
              <w:rPr>
                <w:rFonts w:hint="eastAsia" w:ascii="宋体" w:hAnsi="宋体" w:eastAsia="宋体" w:cs="宋体"/>
                <w:b/>
                <w:bCs/>
                <w:kern w:val="0"/>
                <w:sz w:val="21"/>
                <w:szCs w:val="21"/>
              </w:rPr>
              <w:t>评分细则</w:t>
            </w:r>
          </w:p>
        </w:tc>
      </w:tr>
      <w:tr>
        <w:tblPrEx>
          <w:tblCellMar>
            <w:top w:w="15" w:type="dxa"/>
            <w:left w:w="15" w:type="dxa"/>
            <w:bottom w:w="15" w:type="dxa"/>
            <w:right w:w="15" w:type="dxa"/>
          </w:tblCellMar>
        </w:tblPrEx>
        <w:trPr>
          <w:trHeight w:val="506" w:hRule="atLeast"/>
          <w:jc w:val="center"/>
        </w:trPr>
        <w:tc>
          <w:tcPr>
            <w:tcW w:w="8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kern w:val="0"/>
                <w:sz w:val="24"/>
                <w:szCs w:val="24"/>
              </w:rPr>
              <w:t>一</w:t>
            </w:r>
          </w:p>
        </w:tc>
        <w:tc>
          <w:tcPr>
            <w:tcW w:w="11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eastAsia="宋体" w:cs="宋体"/>
                <w:kern w:val="0"/>
                <w:sz w:val="24"/>
                <w:szCs w:val="24"/>
              </w:rPr>
            </w:pPr>
            <w:r>
              <w:rPr>
                <w:rFonts w:hint="eastAsia" w:ascii="宋体" w:hAnsi="宋体" w:eastAsia="宋体" w:cs="宋体"/>
                <w:spacing w:val="-10"/>
                <w:kern w:val="0"/>
                <w:sz w:val="21"/>
                <w:szCs w:val="21"/>
              </w:rPr>
              <w:t>商务部分</w:t>
            </w:r>
          </w:p>
        </w:tc>
        <w:tc>
          <w:tcPr>
            <w:tcW w:w="9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宋体" w:hAnsi="宋体" w:eastAsia="宋体" w:cs="宋体"/>
                <w:kern w:val="0"/>
                <w:sz w:val="24"/>
                <w:szCs w:val="24"/>
                <w:lang w:val="en-US" w:eastAsia="zh-CN"/>
              </w:rPr>
            </w:pPr>
            <w:r>
              <w:rPr>
                <w:rFonts w:hint="eastAsia" w:ascii="宋体" w:hAnsi="宋体" w:eastAsia="宋体" w:cs="宋体"/>
                <w:kern w:val="0"/>
                <w:sz w:val="21"/>
                <w:szCs w:val="21"/>
                <w:lang w:val="en-US" w:eastAsia="zh-CN"/>
              </w:rPr>
              <w:t>7</w:t>
            </w:r>
          </w:p>
        </w:tc>
        <w:tc>
          <w:tcPr>
            <w:tcW w:w="50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textAlignment w:val="center"/>
              <w:rPr>
                <w:rFonts w:hint="eastAsia" w:ascii="宋体" w:hAnsi="宋体" w:eastAsia="宋体" w:cs="宋体"/>
                <w:spacing w:val="-10"/>
                <w:kern w:val="0"/>
                <w:sz w:val="24"/>
                <w:szCs w:val="24"/>
              </w:rPr>
            </w:pPr>
          </w:p>
        </w:tc>
      </w:tr>
      <w:tr>
        <w:tblPrEx>
          <w:tblCellMar>
            <w:top w:w="15" w:type="dxa"/>
            <w:left w:w="15" w:type="dxa"/>
            <w:bottom w:w="15" w:type="dxa"/>
            <w:right w:w="15" w:type="dxa"/>
          </w:tblCellMar>
        </w:tblPrEx>
        <w:trPr>
          <w:trHeight w:val="1368" w:hRule="atLeast"/>
          <w:jc w:val="center"/>
        </w:trPr>
        <w:tc>
          <w:tcPr>
            <w:tcW w:w="8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1</w:t>
            </w:r>
          </w:p>
        </w:tc>
        <w:tc>
          <w:tcPr>
            <w:tcW w:w="11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rPr>
              <w:t>文件编制</w:t>
            </w:r>
          </w:p>
        </w:tc>
        <w:tc>
          <w:tcPr>
            <w:tcW w:w="9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w:t>
            </w:r>
          </w:p>
        </w:tc>
        <w:tc>
          <w:tcPr>
            <w:tcW w:w="50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textAlignment w:val="center"/>
              <w:rPr>
                <w:rFonts w:hint="eastAsia" w:ascii="宋体" w:hAnsi="宋体" w:eastAsia="宋体" w:cs="宋体"/>
                <w:sz w:val="21"/>
                <w:szCs w:val="21"/>
              </w:rPr>
            </w:pPr>
            <w:r>
              <w:rPr>
                <w:rFonts w:hint="eastAsia" w:ascii="宋体" w:hAnsi="宋体" w:cs="微软雅黑"/>
                <w:kern w:val="0"/>
                <w:shd w:val="clear" w:color="auto" w:fill="FFFFFF"/>
              </w:rPr>
              <w:t>1）</w:t>
            </w:r>
            <w:r>
              <w:rPr>
                <w:rFonts w:hint="eastAsia" w:ascii="宋体" w:hAnsi="宋体" w:eastAsia="宋体" w:cs="宋体"/>
                <w:spacing w:val="-10"/>
                <w:kern w:val="0"/>
                <w:sz w:val="21"/>
                <w:szCs w:val="21"/>
              </w:rPr>
              <w:t>磋商文件编制完整</w:t>
            </w:r>
            <w:r>
              <w:rPr>
                <w:rFonts w:hint="eastAsia" w:ascii="宋体" w:hAnsi="宋体" w:eastAsia="宋体" w:cs="宋体"/>
                <w:spacing w:val="-10"/>
                <w:kern w:val="0"/>
                <w:sz w:val="21"/>
                <w:szCs w:val="21"/>
                <w:lang w:eastAsia="zh-CN"/>
              </w:rPr>
              <w:t>，</w:t>
            </w:r>
            <w:r>
              <w:rPr>
                <w:rFonts w:hint="eastAsia" w:ascii="宋体" w:hAnsi="宋体" w:eastAsia="宋体" w:cs="宋体"/>
                <w:spacing w:val="-10"/>
                <w:kern w:val="0"/>
                <w:sz w:val="21"/>
                <w:szCs w:val="21"/>
              </w:rPr>
              <w:t>有目录(目录对应页码）</w:t>
            </w:r>
            <w:r>
              <w:rPr>
                <w:rFonts w:hint="eastAsia" w:ascii="宋体" w:hAnsi="宋体" w:eastAsia="宋体" w:cs="宋体"/>
                <w:spacing w:val="-10"/>
                <w:kern w:val="0"/>
                <w:sz w:val="21"/>
                <w:szCs w:val="21"/>
                <w:lang w:eastAsia="zh-CN"/>
              </w:rPr>
              <w:t>，</w:t>
            </w:r>
            <w:r>
              <w:rPr>
                <w:rFonts w:hint="eastAsia" w:ascii="宋体" w:hAnsi="宋体" w:eastAsia="宋体" w:cs="宋体"/>
                <w:spacing w:val="-10"/>
                <w:kern w:val="0"/>
                <w:sz w:val="21"/>
                <w:szCs w:val="21"/>
              </w:rPr>
              <w:t>总体编排有序</w:t>
            </w:r>
            <w:r>
              <w:rPr>
                <w:rFonts w:hint="eastAsia" w:ascii="宋体" w:hAnsi="宋体" w:eastAsia="宋体" w:cs="宋体"/>
                <w:spacing w:val="-10"/>
                <w:kern w:val="0"/>
                <w:sz w:val="21"/>
                <w:szCs w:val="21"/>
                <w:lang w:val="en-US" w:eastAsia="zh-CN"/>
              </w:rPr>
              <w:t>、</w:t>
            </w:r>
            <w:r>
              <w:rPr>
                <w:rFonts w:hint="eastAsia" w:ascii="宋体" w:hAnsi="宋体" w:eastAsia="宋体" w:cs="宋体"/>
                <w:spacing w:val="-10"/>
                <w:kern w:val="0"/>
                <w:sz w:val="21"/>
                <w:szCs w:val="21"/>
              </w:rPr>
              <w:t>格式规范</w:t>
            </w:r>
            <w:r>
              <w:rPr>
                <w:rFonts w:hint="eastAsia" w:ascii="宋体" w:hAnsi="宋体" w:eastAsia="宋体" w:cs="宋体"/>
                <w:spacing w:val="-10"/>
                <w:kern w:val="0"/>
                <w:sz w:val="21"/>
                <w:szCs w:val="21"/>
                <w:lang w:val="en-US" w:eastAsia="zh-CN"/>
              </w:rPr>
              <w:t>,</w:t>
            </w:r>
            <w:r>
              <w:rPr>
                <w:rFonts w:hint="eastAsia" w:ascii="宋体" w:hAnsi="宋体" w:eastAsia="宋体" w:cs="宋体"/>
                <w:spacing w:val="-10"/>
                <w:kern w:val="0"/>
                <w:sz w:val="21"/>
                <w:szCs w:val="21"/>
              </w:rPr>
              <w:t>装订整齐</w:t>
            </w:r>
            <w:r>
              <w:rPr>
                <w:rFonts w:hint="eastAsia" w:ascii="宋体" w:hAnsi="宋体" w:eastAsia="宋体" w:cs="宋体"/>
                <w:spacing w:val="-10"/>
                <w:kern w:val="0"/>
                <w:sz w:val="21"/>
                <w:szCs w:val="21"/>
                <w:lang w:eastAsia="zh-CN"/>
              </w:rPr>
              <w:t>、</w:t>
            </w:r>
            <w:r>
              <w:rPr>
                <w:rFonts w:hint="eastAsia" w:ascii="宋体" w:hAnsi="宋体" w:eastAsia="宋体" w:cs="宋体"/>
                <w:spacing w:val="-10"/>
                <w:kern w:val="0"/>
                <w:sz w:val="21"/>
                <w:szCs w:val="21"/>
              </w:rPr>
              <w:t>页码连续清晰，得</w:t>
            </w:r>
            <w:r>
              <w:rPr>
                <w:rFonts w:hint="eastAsia" w:ascii="宋体" w:hAnsi="宋体" w:eastAsia="宋体" w:cs="宋体"/>
                <w:spacing w:val="-10"/>
                <w:kern w:val="0"/>
                <w:sz w:val="21"/>
                <w:szCs w:val="21"/>
                <w:lang w:val="en-US" w:eastAsia="zh-CN"/>
              </w:rPr>
              <w:t>4</w:t>
            </w:r>
            <w:r>
              <w:rPr>
                <w:rFonts w:hint="eastAsia" w:ascii="宋体" w:hAnsi="宋体" w:eastAsia="宋体" w:cs="宋体"/>
                <w:spacing w:val="-10"/>
                <w:kern w:val="0"/>
                <w:sz w:val="21"/>
                <w:szCs w:val="21"/>
              </w:rPr>
              <w:t>分；每有一项不符合要求的扣</w:t>
            </w:r>
            <w:r>
              <w:rPr>
                <w:rFonts w:hint="eastAsia" w:ascii="宋体" w:hAnsi="宋体" w:eastAsia="宋体" w:cs="宋体"/>
                <w:spacing w:val="-10"/>
                <w:kern w:val="0"/>
                <w:sz w:val="21"/>
                <w:szCs w:val="21"/>
                <w:lang w:val="en-US" w:eastAsia="zh-CN"/>
              </w:rPr>
              <w:t>1</w:t>
            </w:r>
            <w:r>
              <w:rPr>
                <w:rFonts w:hint="eastAsia" w:ascii="宋体" w:hAnsi="宋体" w:eastAsia="宋体" w:cs="宋体"/>
                <w:spacing w:val="-10"/>
                <w:kern w:val="0"/>
                <w:sz w:val="21"/>
                <w:szCs w:val="21"/>
              </w:rPr>
              <w:t>分，扣完为止；响应文件有关内容前后矛盾、与磋商文件要求不一致等，磋商小组允许且需要通过磋商等程序进行澄清的，该项不得分。</w:t>
            </w:r>
          </w:p>
        </w:tc>
      </w:tr>
      <w:tr>
        <w:tblPrEx>
          <w:tblCellMar>
            <w:top w:w="15" w:type="dxa"/>
            <w:left w:w="15" w:type="dxa"/>
            <w:bottom w:w="15" w:type="dxa"/>
            <w:right w:w="15" w:type="dxa"/>
          </w:tblCellMar>
        </w:tblPrEx>
        <w:trPr>
          <w:trHeight w:val="595" w:hRule="atLeast"/>
          <w:jc w:val="center"/>
        </w:trPr>
        <w:tc>
          <w:tcPr>
            <w:tcW w:w="8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1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lang w:val="en-US" w:eastAsia="zh-CN"/>
              </w:rPr>
              <w:t>产品供货渠道</w:t>
            </w:r>
          </w:p>
        </w:tc>
        <w:tc>
          <w:tcPr>
            <w:tcW w:w="9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textAlignment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highlight w:val="none"/>
                <w:lang w:val="en-US" w:eastAsia="zh-CN"/>
              </w:rPr>
              <w:t>3</w:t>
            </w:r>
          </w:p>
        </w:tc>
        <w:tc>
          <w:tcPr>
            <w:tcW w:w="504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2"/>
              <w:numPr>
                <w:ilvl w:val="0"/>
                <w:numId w:val="0"/>
              </w:numPr>
              <w:ind w:left="0" w:leftChars="0" w:firstLine="0" w:firstLineChars="0"/>
              <w:rPr>
                <w:rFonts w:hint="default" w:ascii="宋体" w:hAnsi="宋体" w:eastAsia="宋体" w:cs="宋体"/>
                <w:spacing w:val="-10"/>
                <w:kern w:val="0"/>
                <w:sz w:val="21"/>
                <w:szCs w:val="21"/>
                <w:lang w:val="en-US" w:eastAsia="zh-CN"/>
              </w:rPr>
            </w:pPr>
            <w:r>
              <w:rPr>
                <w:rFonts w:hint="eastAsia" w:ascii="宋体" w:hAnsi="宋体" w:cs="微软雅黑"/>
                <w:kern w:val="0"/>
                <w:shd w:val="clear" w:color="auto" w:fill="FFFFFF"/>
              </w:rPr>
              <w:t>1）</w:t>
            </w:r>
            <w:r>
              <w:rPr>
                <w:rFonts w:hint="eastAsia" w:ascii="宋体" w:hAnsi="宋体" w:eastAsia="宋体" w:cs="宋体"/>
                <w:kern w:val="2"/>
                <w:sz w:val="21"/>
                <w:szCs w:val="21"/>
                <w:highlight w:val="none"/>
                <w:lang w:val="en-US" w:eastAsia="zh-CN" w:bidi="ar-SA"/>
              </w:rPr>
              <w:t>产品供货渠道正规，有质量保证，确保生产供应的货物无假货、水货、翻新货且无产权纠纷提供所投产品（</w:t>
            </w:r>
            <w:r>
              <w:rPr>
                <w:rFonts w:hint="eastAsia" w:ascii="宋体" w:hAnsi="宋体" w:eastAsia="宋体" w:cs="宋体"/>
                <w:spacing w:val="-10"/>
                <w:kern w:val="0"/>
                <w:sz w:val="21"/>
                <w:szCs w:val="21"/>
                <w:highlight w:val="none"/>
                <w:lang w:val="en-US" w:eastAsia="zh-CN"/>
              </w:rPr>
              <w:t>篮球架、移动式足球门等</w:t>
            </w:r>
            <w:r>
              <w:rPr>
                <w:rFonts w:hint="eastAsia" w:ascii="宋体" w:hAnsi="宋体" w:eastAsia="宋体" w:cs="宋体"/>
                <w:kern w:val="2"/>
                <w:sz w:val="21"/>
                <w:szCs w:val="21"/>
                <w:highlight w:val="none"/>
                <w:lang w:val="en-US" w:eastAsia="zh-CN" w:bidi="ar-SA"/>
              </w:rPr>
              <w:t>）的合法来源渠道证明文件的得3</w:t>
            </w:r>
            <w:bookmarkStart w:id="69" w:name="_GoBack"/>
            <w:bookmarkEnd w:id="69"/>
            <w:r>
              <w:rPr>
                <w:rFonts w:hint="eastAsia" w:ascii="宋体" w:hAnsi="宋体" w:eastAsia="宋体" w:cs="宋体"/>
                <w:kern w:val="2"/>
                <w:sz w:val="21"/>
                <w:szCs w:val="21"/>
                <w:highlight w:val="none"/>
                <w:lang w:val="en-US" w:eastAsia="zh-CN" w:bidi="ar-SA"/>
              </w:rPr>
              <w:t>分，未提供合法来源渠道证明文件不得分。</w:t>
            </w:r>
          </w:p>
        </w:tc>
      </w:tr>
      <w:tr>
        <w:tblPrEx>
          <w:tblCellMar>
            <w:top w:w="15" w:type="dxa"/>
            <w:left w:w="15" w:type="dxa"/>
            <w:bottom w:w="15" w:type="dxa"/>
            <w:right w:w="15" w:type="dxa"/>
          </w:tblCellMar>
        </w:tblPrEx>
        <w:trPr>
          <w:trHeight w:val="705" w:hRule="atLeast"/>
          <w:jc w:val="center"/>
        </w:trPr>
        <w:tc>
          <w:tcPr>
            <w:tcW w:w="8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eastAsia="宋体" w:cs="宋体"/>
                <w:sz w:val="24"/>
                <w:szCs w:val="24"/>
              </w:rPr>
            </w:pPr>
            <w:r>
              <w:rPr>
                <w:rFonts w:hint="eastAsia" w:ascii="宋体" w:hAnsi="宋体" w:eastAsia="宋体" w:cs="宋体"/>
                <w:sz w:val="24"/>
                <w:szCs w:val="24"/>
              </w:rPr>
              <w:t>二</w:t>
            </w:r>
          </w:p>
        </w:tc>
        <w:tc>
          <w:tcPr>
            <w:tcW w:w="11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eastAsia="宋体" w:cs="宋体"/>
                <w:kern w:val="0"/>
                <w:sz w:val="21"/>
                <w:szCs w:val="21"/>
              </w:rPr>
            </w:pPr>
            <w:r>
              <w:rPr>
                <w:rFonts w:hint="eastAsia" w:ascii="宋体" w:hAnsi="宋体" w:eastAsia="宋体" w:cs="宋体"/>
                <w:kern w:val="0"/>
                <w:sz w:val="21"/>
                <w:szCs w:val="21"/>
              </w:rPr>
              <w:t>技术部分</w:t>
            </w:r>
          </w:p>
        </w:tc>
        <w:tc>
          <w:tcPr>
            <w:tcW w:w="9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42</w:t>
            </w:r>
          </w:p>
        </w:tc>
        <w:tc>
          <w:tcPr>
            <w:tcW w:w="50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textAlignment w:val="center"/>
              <w:rPr>
                <w:rFonts w:hint="default" w:ascii="宋体" w:hAnsi="宋体" w:eastAsia="宋体" w:cs="宋体"/>
                <w:spacing w:val="-10"/>
                <w:kern w:val="0"/>
                <w:sz w:val="21"/>
                <w:szCs w:val="21"/>
                <w:lang w:val="en-US" w:eastAsia="zh-CN"/>
              </w:rPr>
            </w:pPr>
          </w:p>
        </w:tc>
      </w:tr>
      <w:tr>
        <w:tblPrEx>
          <w:tblCellMar>
            <w:top w:w="15" w:type="dxa"/>
            <w:left w:w="15" w:type="dxa"/>
            <w:bottom w:w="15" w:type="dxa"/>
            <w:right w:w="15" w:type="dxa"/>
          </w:tblCellMar>
        </w:tblPrEx>
        <w:trPr>
          <w:trHeight w:val="2805" w:hRule="atLeast"/>
          <w:jc w:val="center"/>
        </w:trPr>
        <w:tc>
          <w:tcPr>
            <w:tcW w:w="837" w:type="dxa"/>
            <w:tcBorders>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w:t>
            </w:r>
          </w:p>
        </w:tc>
        <w:tc>
          <w:tcPr>
            <w:tcW w:w="1198" w:type="dxa"/>
            <w:tcBorders>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技术指标</w:t>
            </w:r>
          </w:p>
        </w:tc>
        <w:tc>
          <w:tcPr>
            <w:tcW w:w="9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30</w:t>
            </w:r>
          </w:p>
        </w:tc>
        <w:tc>
          <w:tcPr>
            <w:tcW w:w="50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numPr>
                <w:ilvl w:val="0"/>
                <w:numId w:val="1"/>
              </w:numPr>
              <w:snapToGrid w:val="0"/>
              <w:spacing w:line="360" w:lineRule="exact"/>
              <w:rPr>
                <w:rFonts w:hint="eastAsia"/>
                <w:lang w:val="en-US" w:eastAsia="zh-CN"/>
              </w:rPr>
            </w:pPr>
            <w:r>
              <w:rPr>
                <w:rFonts w:hint="eastAsia"/>
                <w:lang w:val="en-US" w:eastAsia="zh-CN"/>
              </w:rPr>
              <w:t>技术偏离表中“响应文件响应情况”应如实填写，并与“货物清单及技术参数或服务要求”一一对应，全部满足或高于磋商文件要求，得30分；</w:t>
            </w:r>
          </w:p>
          <w:p>
            <w:pPr>
              <w:numPr>
                <w:ilvl w:val="0"/>
                <w:numId w:val="0"/>
              </w:numPr>
              <w:snapToGrid w:val="0"/>
              <w:spacing w:line="360" w:lineRule="exact"/>
              <w:rPr>
                <w:rFonts w:hint="eastAsia"/>
                <w:lang w:val="en-US" w:eastAsia="zh-CN"/>
              </w:rPr>
            </w:pPr>
            <w:r>
              <w:rPr>
                <w:rFonts w:hint="eastAsia"/>
                <w:lang w:val="en-US" w:eastAsia="zh-CN"/>
              </w:rPr>
              <w:t>供应商所投产品的一般技术指标、参数（非▲项）低于或无法满足磋商文件规定的相应技术指标或参数的，每一项负偏离减3分，扣完为止。</w:t>
            </w:r>
          </w:p>
          <w:p>
            <w:pPr>
              <w:numPr>
                <w:ilvl w:val="0"/>
                <w:numId w:val="0"/>
              </w:numPr>
              <w:snapToGrid w:val="0"/>
              <w:spacing w:line="360" w:lineRule="exact"/>
              <w:rPr>
                <w:rFonts w:hint="eastAsia"/>
                <w:lang w:val="en-US" w:eastAsia="zh-CN"/>
              </w:rPr>
            </w:pPr>
            <w:r>
              <w:rPr>
                <w:rFonts w:hint="eastAsia"/>
                <w:lang w:val="en-US" w:eastAsia="zh-CN"/>
              </w:rPr>
              <w:t>供应商所投产品的重要技术指标、参数（▲项）低于或无法满足磋商文件规定的相应技术指标或参数的，每一项负偏离减6分，扣完为止。</w:t>
            </w:r>
          </w:p>
          <w:p>
            <w:pPr>
              <w:pStyle w:val="2"/>
              <w:ind w:left="0" w:leftChars="0" w:firstLine="0" w:firstLineChars="0"/>
              <w:rPr>
                <w:rFonts w:hint="default"/>
                <w:lang w:val="en-US"/>
              </w:rPr>
            </w:pPr>
            <w:r>
              <w:rPr>
                <w:rFonts w:hint="eastAsia"/>
                <w:lang w:val="en-US" w:eastAsia="zh-CN"/>
              </w:rPr>
              <w:t>供应商所投产品的重要技术指标、参数（</w:t>
            </w:r>
            <w:r>
              <w:rPr>
                <w:rFonts w:hint="eastAsia" w:ascii="宋体" w:hAnsi="宋体" w:eastAsia="宋体" w:cs="宋体"/>
                <w:b/>
                <w:bCs/>
                <w:sz w:val="21"/>
                <w:szCs w:val="21"/>
                <w:lang w:val="en-US" w:eastAsia="zh-CN"/>
              </w:rPr>
              <w:t>■</w:t>
            </w:r>
            <w:r>
              <w:rPr>
                <w:rFonts w:hint="eastAsia" w:ascii="宋体" w:hAnsi="宋体" w:eastAsia="宋体" w:cs="宋体"/>
                <w:b w:val="0"/>
                <w:bCs w:val="0"/>
                <w:sz w:val="21"/>
                <w:szCs w:val="21"/>
                <w:lang w:val="en-US" w:eastAsia="zh-CN"/>
              </w:rPr>
              <w:t>项</w:t>
            </w:r>
            <w:r>
              <w:rPr>
                <w:rFonts w:hint="eastAsia"/>
                <w:lang w:val="en-US" w:eastAsia="zh-CN"/>
              </w:rPr>
              <w:t>）低于或无法满足磋商文件规定的相应技术指标或参数的，此打分项不得分。</w:t>
            </w:r>
          </w:p>
        </w:tc>
      </w:tr>
      <w:tr>
        <w:tblPrEx>
          <w:tblCellMar>
            <w:top w:w="15" w:type="dxa"/>
            <w:left w:w="15" w:type="dxa"/>
            <w:bottom w:w="15" w:type="dxa"/>
            <w:right w:w="15" w:type="dxa"/>
          </w:tblCellMar>
        </w:tblPrEx>
        <w:trPr>
          <w:trHeight w:val="789" w:hRule="atLeast"/>
          <w:jc w:val="center"/>
        </w:trPr>
        <w:tc>
          <w:tcPr>
            <w:tcW w:w="837" w:type="dxa"/>
            <w:vMerge w:val="restart"/>
            <w:tcBorders>
              <w:top w:val="single" w:color="auto" w:sz="4" w:space="0"/>
              <w:left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eastAsia="宋体" w:cs="宋体"/>
                <w:sz w:val="24"/>
                <w:szCs w:val="24"/>
              </w:rPr>
            </w:pPr>
          </w:p>
          <w:p>
            <w:pPr>
              <w:widowControl/>
              <w:jc w:val="center"/>
              <w:textAlignment w:val="center"/>
              <w:rPr>
                <w:rFonts w:hint="eastAsia" w:ascii="宋体" w:hAnsi="宋体" w:eastAsia="宋体" w:cs="宋体"/>
                <w:sz w:val="24"/>
                <w:szCs w:val="24"/>
              </w:rPr>
            </w:pPr>
          </w:p>
          <w:p>
            <w:pPr>
              <w:widowControl/>
              <w:jc w:val="center"/>
              <w:textAlignment w:val="center"/>
              <w:rPr>
                <w:rFonts w:hint="eastAsia" w:ascii="宋体" w:hAnsi="宋体" w:eastAsia="宋体" w:cs="宋体"/>
                <w:sz w:val="24"/>
                <w:szCs w:val="24"/>
              </w:rPr>
            </w:pPr>
          </w:p>
          <w:p>
            <w:pPr>
              <w:widowControl/>
              <w:jc w:val="center"/>
              <w:textAlignment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p>
          <w:p>
            <w:pPr>
              <w:widowControl/>
              <w:jc w:val="center"/>
              <w:textAlignment w:val="center"/>
              <w:rPr>
                <w:rFonts w:hint="eastAsia" w:ascii="宋体" w:hAnsi="宋体" w:eastAsia="宋体" w:cs="宋体"/>
                <w:sz w:val="24"/>
                <w:szCs w:val="24"/>
              </w:rPr>
            </w:pPr>
          </w:p>
          <w:p>
            <w:pPr>
              <w:widowControl/>
              <w:jc w:val="center"/>
              <w:textAlignment w:val="center"/>
              <w:rPr>
                <w:rFonts w:hint="eastAsia" w:ascii="宋体" w:hAnsi="宋体" w:eastAsia="宋体" w:cs="宋体"/>
                <w:sz w:val="24"/>
                <w:szCs w:val="24"/>
              </w:rPr>
            </w:pPr>
          </w:p>
        </w:tc>
        <w:tc>
          <w:tcPr>
            <w:tcW w:w="1198" w:type="dxa"/>
            <w:vMerge w:val="restart"/>
            <w:tcBorders>
              <w:top w:val="single" w:color="auto" w:sz="4" w:space="0"/>
              <w:left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eastAsia="宋体" w:cs="宋体"/>
                <w:kern w:val="0"/>
                <w:sz w:val="21"/>
                <w:szCs w:val="21"/>
              </w:rPr>
            </w:pPr>
          </w:p>
          <w:p>
            <w:pPr>
              <w:widowControl/>
              <w:textAlignment w:val="center"/>
              <w:rPr>
                <w:rFonts w:hint="eastAsia" w:ascii="宋体" w:hAnsi="宋体" w:eastAsia="宋体" w:cs="宋体"/>
                <w:sz w:val="21"/>
                <w:szCs w:val="21"/>
              </w:rPr>
            </w:pPr>
            <w:r>
              <w:rPr>
                <w:rFonts w:hint="eastAsia" w:ascii="宋体" w:hAnsi="宋体" w:eastAsia="宋体" w:cs="宋体"/>
                <w:kern w:val="0"/>
                <w:sz w:val="21"/>
                <w:szCs w:val="21"/>
              </w:rPr>
              <w:t>技术服务方案</w:t>
            </w:r>
          </w:p>
        </w:tc>
        <w:tc>
          <w:tcPr>
            <w:tcW w:w="909" w:type="dxa"/>
            <w:vMerge w:val="restart"/>
            <w:tcBorders>
              <w:top w:val="single" w:color="auto" w:sz="4" w:space="0"/>
              <w:left w:val="single" w:color="auto" w:sz="4" w:space="0"/>
              <w:right w:val="single" w:color="auto" w:sz="4" w:space="0"/>
            </w:tcBorders>
            <w:shd w:val="clear" w:color="auto" w:fill="FFFFFF"/>
            <w:noWrap w:val="0"/>
            <w:vAlign w:val="center"/>
          </w:tcPr>
          <w:p>
            <w:pPr>
              <w:widowControl/>
              <w:jc w:val="center"/>
              <w:textAlignment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12</w:t>
            </w:r>
          </w:p>
        </w:tc>
        <w:tc>
          <w:tcPr>
            <w:tcW w:w="50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left"/>
              <w:textAlignment w:val="center"/>
              <w:rPr>
                <w:rFonts w:hint="eastAsia" w:ascii="宋体" w:hAnsi="宋体" w:eastAsia="宋体" w:cs="宋体"/>
                <w:sz w:val="21"/>
                <w:szCs w:val="21"/>
              </w:rPr>
            </w:pPr>
            <w:r>
              <w:rPr>
                <w:rFonts w:hint="eastAsia" w:ascii="宋体" w:hAnsi="宋体" w:eastAsia="宋体" w:cs="宋体"/>
                <w:kern w:val="28"/>
                <w:sz w:val="21"/>
                <w:szCs w:val="21"/>
              </w:rPr>
              <w:t>提供详细的技术服务方案，从保证供货措施</w:t>
            </w:r>
            <w:r>
              <w:rPr>
                <w:rFonts w:hint="eastAsia" w:ascii="宋体" w:hAnsi="宋体" w:eastAsia="宋体" w:cs="宋体"/>
                <w:kern w:val="28"/>
                <w:sz w:val="21"/>
                <w:szCs w:val="21"/>
                <w:lang w:eastAsia="zh-CN"/>
              </w:rPr>
              <w:t>，</w:t>
            </w:r>
            <w:r>
              <w:rPr>
                <w:rFonts w:hint="eastAsia" w:ascii="宋体" w:hAnsi="宋体" w:eastAsia="宋体" w:cs="宋体"/>
                <w:kern w:val="28"/>
                <w:sz w:val="21"/>
                <w:szCs w:val="21"/>
              </w:rPr>
              <w:t>安装</w:t>
            </w:r>
            <w:r>
              <w:rPr>
                <w:rFonts w:hint="eastAsia" w:ascii="宋体" w:hAnsi="宋体" w:eastAsia="宋体" w:cs="宋体"/>
                <w:kern w:val="28"/>
                <w:sz w:val="21"/>
                <w:szCs w:val="21"/>
                <w:lang w:eastAsia="zh-CN"/>
              </w:rPr>
              <w:t>及调试</w:t>
            </w:r>
            <w:r>
              <w:rPr>
                <w:rFonts w:hint="eastAsia" w:ascii="宋体" w:hAnsi="宋体" w:eastAsia="宋体" w:cs="宋体"/>
                <w:kern w:val="28"/>
                <w:sz w:val="21"/>
                <w:szCs w:val="21"/>
              </w:rPr>
              <w:t>、</w:t>
            </w:r>
            <w:r>
              <w:rPr>
                <w:rFonts w:hint="eastAsia" w:ascii="宋体" w:hAnsi="宋体" w:eastAsia="宋体" w:cs="宋体"/>
                <w:kern w:val="28"/>
                <w:sz w:val="21"/>
                <w:szCs w:val="21"/>
                <w:lang w:val="en-US" w:eastAsia="zh-CN"/>
              </w:rPr>
              <w:t>废物清理外运、原有设施保护方案四</w:t>
            </w:r>
            <w:r>
              <w:rPr>
                <w:rFonts w:hint="eastAsia" w:ascii="宋体" w:hAnsi="宋体" w:eastAsia="宋体" w:cs="宋体"/>
                <w:kern w:val="28"/>
                <w:sz w:val="21"/>
                <w:szCs w:val="21"/>
              </w:rPr>
              <w:t>个方面进行详细阐述：</w:t>
            </w:r>
          </w:p>
        </w:tc>
      </w:tr>
      <w:tr>
        <w:tblPrEx>
          <w:tblCellMar>
            <w:top w:w="15" w:type="dxa"/>
            <w:left w:w="15" w:type="dxa"/>
            <w:bottom w:w="15" w:type="dxa"/>
            <w:right w:w="15" w:type="dxa"/>
          </w:tblCellMar>
        </w:tblPrEx>
        <w:trPr>
          <w:trHeight w:val="948" w:hRule="atLeast"/>
          <w:jc w:val="center"/>
        </w:trPr>
        <w:tc>
          <w:tcPr>
            <w:tcW w:w="837" w:type="dxa"/>
            <w:vMerge w:val="continue"/>
            <w:tcBorders>
              <w:left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eastAsia="宋体" w:cs="宋体"/>
                <w:sz w:val="24"/>
                <w:szCs w:val="24"/>
              </w:rPr>
            </w:pPr>
          </w:p>
        </w:tc>
        <w:tc>
          <w:tcPr>
            <w:tcW w:w="1198" w:type="dxa"/>
            <w:vMerge w:val="continue"/>
            <w:tcBorders>
              <w:left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eastAsia="宋体" w:cs="宋体"/>
                <w:kern w:val="0"/>
                <w:sz w:val="21"/>
                <w:szCs w:val="21"/>
              </w:rPr>
            </w:pPr>
          </w:p>
        </w:tc>
        <w:tc>
          <w:tcPr>
            <w:tcW w:w="909" w:type="dxa"/>
            <w:vMerge w:val="continue"/>
            <w:tcBorders>
              <w:left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eastAsia="宋体" w:cs="宋体"/>
                <w:kern w:val="0"/>
                <w:sz w:val="21"/>
                <w:szCs w:val="21"/>
              </w:rPr>
            </w:pPr>
          </w:p>
        </w:tc>
        <w:tc>
          <w:tcPr>
            <w:tcW w:w="50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napToGrid w:val="0"/>
              <w:spacing w:line="360" w:lineRule="exact"/>
              <w:rPr>
                <w:rFonts w:hint="default" w:ascii="宋体" w:hAnsi="宋体" w:cs="微软雅黑" w:eastAsiaTheme="minorEastAsia"/>
                <w:kern w:val="0"/>
                <w:shd w:val="clear" w:color="auto" w:fill="FFFFFF"/>
                <w:lang w:val="en-US" w:eastAsia="zh-CN"/>
              </w:rPr>
            </w:pPr>
            <w:r>
              <w:rPr>
                <w:rFonts w:hint="eastAsia" w:ascii="宋体" w:hAnsi="宋体" w:cs="微软雅黑"/>
                <w:kern w:val="0"/>
                <w:shd w:val="clear" w:color="auto" w:fill="FFFFFF"/>
              </w:rPr>
              <w:t>1）视参与本项目磋商的供应商提供的设备保证供货措施进</w:t>
            </w:r>
            <w:r>
              <w:rPr>
                <w:rFonts w:hint="eastAsia" w:ascii="宋体" w:hAnsi="宋体" w:cs="微软雅黑"/>
                <w:kern w:val="0"/>
                <w:shd w:val="clear" w:color="auto" w:fill="FFFFFF"/>
                <w:lang w:val="en-US" w:eastAsia="zh-CN"/>
              </w:rPr>
              <w:t>方案</w:t>
            </w:r>
            <w:r>
              <w:rPr>
                <w:rFonts w:hint="eastAsia" w:ascii="宋体" w:hAnsi="宋体" w:cs="微软雅黑"/>
                <w:kern w:val="0"/>
                <w:shd w:val="clear" w:color="auto" w:fill="FFFFFF"/>
              </w:rPr>
              <w:t>行综合考评</w:t>
            </w:r>
            <w:r>
              <w:rPr>
                <w:rFonts w:hint="eastAsia" w:ascii="宋体" w:hAnsi="宋体" w:cs="微软雅黑"/>
                <w:kern w:val="0"/>
                <w:shd w:val="clear" w:color="auto" w:fill="FFFFFF"/>
                <w:lang w:eastAsia="zh-CN"/>
              </w:rPr>
              <w:t>，</w:t>
            </w:r>
            <w:r>
              <w:rPr>
                <w:rFonts w:hint="eastAsia" w:ascii="宋体" w:hAnsi="宋体" w:cs="微软雅黑"/>
                <w:kern w:val="0"/>
                <w:shd w:val="clear" w:color="auto" w:fill="FFFFFF"/>
                <w:lang w:val="en-US" w:eastAsia="zh-CN"/>
              </w:rPr>
              <w:t>满分3分。</w:t>
            </w:r>
          </w:p>
          <w:p>
            <w:pPr>
              <w:snapToGrid w:val="0"/>
              <w:spacing w:line="360" w:lineRule="exact"/>
              <w:rPr>
                <w:rFonts w:hint="eastAsia" w:ascii="宋体" w:hAnsi="宋体" w:eastAsia="宋体" w:cs="宋体"/>
                <w:kern w:val="0"/>
                <w:sz w:val="21"/>
                <w:szCs w:val="21"/>
                <w:shd w:val="clear" w:color="auto" w:fill="FFFFFF"/>
              </w:rPr>
            </w:pPr>
            <w:r>
              <w:rPr>
                <w:rFonts w:hint="eastAsia" w:ascii="宋体" w:hAnsi="宋体" w:eastAsia="宋体" w:cs="宋体"/>
                <w:kern w:val="0"/>
                <w:sz w:val="21"/>
                <w:szCs w:val="21"/>
                <w:shd w:val="clear" w:color="auto" w:fill="FFFFFF"/>
              </w:rPr>
              <w:t>（1）合理可行的得</w:t>
            </w:r>
            <w:r>
              <w:rPr>
                <w:rFonts w:hint="eastAsia" w:ascii="宋体" w:hAnsi="宋体" w:eastAsia="宋体" w:cs="宋体"/>
                <w:kern w:val="0"/>
                <w:sz w:val="21"/>
                <w:szCs w:val="21"/>
                <w:shd w:val="clear" w:color="auto" w:fill="FFFFFF"/>
                <w:lang w:val="en-US" w:eastAsia="zh-CN"/>
              </w:rPr>
              <w:t>3</w:t>
            </w:r>
            <w:r>
              <w:rPr>
                <w:rFonts w:hint="eastAsia" w:ascii="宋体" w:hAnsi="宋体" w:eastAsia="宋体" w:cs="宋体"/>
                <w:kern w:val="0"/>
                <w:sz w:val="21"/>
                <w:szCs w:val="21"/>
                <w:shd w:val="clear" w:color="auto" w:fill="FFFFFF"/>
              </w:rPr>
              <w:t>分；</w:t>
            </w:r>
          </w:p>
          <w:p>
            <w:pPr>
              <w:pStyle w:val="2"/>
              <w:ind w:firstLine="0" w:firstLineChars="0"/>
              <w:rPr>
                <w:rFonts w:ascii="宋体" w:hAnsi="宋体" w:cs="微软雅黑"/>
                <w:kern w:val="0"/>
                <w:shd w:val="clear" w:color="auto" w:fill="FFFFFF"/>
              </w:rPr>
            </w:pPr>
            <w:r>
              <w:rPr>
                <w:rFonts w:hint="eastAsia" w:ascii="宋体" w:hAnsi="宋体" w:cs="微软雅黑"/>
                <w:kern w:val="0"/>
                <w:shd w:val="clear" w:color="auto" w:fill="FFFFFF"/>
              </w:rPr>
              <w:t>（2）有不合理</w:t>
            </w:r>
            <w:r>
              <w:rPr>
                <w:rFonts w:hint="eastAsia" w:ascii="宋体" w:hAnsi="宋体" w:cs="微软雅黑"/>
                <w:kern w:val="0"/>
                <w:shd w:val="clear" w:color="auto" w:fill="FFFFFF"/>
                <w:lang w:eastAsia="zh-CN"/>
              </w:rPr>
              <w:t>一</w:t>
            </w:r>
            <w:r>
              <w:rPr>
                <w:rFonts w:hint="eastAsia" w:ascii="宋体" w:hAnsi="宋体" w:cs="微软雅黑"/>
                <w:kern w:val="0"/>
                <w:shd w:val="clear" w:color="auto" w:fill="FFFFFF"/>
              </w:rPr>
              <w:t>处</w:t>
            </w:r>
            <w:r>
              <w:rPr>
                <w:rFonts w:hint="eastAsia" w:ascii="宋体" w:hAnsi="宋体" w:cs="微软雅黑"/>
                <w:kern w:val="0"/>
                <w:shd w:val="clear" w:color="auto" w:fill="FFFFFF"/>
                <w:lang w:eastAsia="zh-CN"/>
              </w:rPr>
              <w:t>及以上</w:t>
            </w:r>
            <w:r>
              <w:rPr>
                <w:rFonts w:hint="eastAsia" w:ascii="宋体" w:hAnsi="宋体" w:cs="微软雅黑"/>
                <w:kern w:val="0"/>
                <w:shd w:val="clear" w:color="auto" w:fill="FFFFFF"/>
              </w:rPr>
              <w:t>的，或缺乏针对性的</w:t>
            </w:r>
            <w:r>
              <w:rPr>
                <w:rFonts w:hint="eastAsia" w:ascii="宋体" w:hAnsi="宋体" w:cs="微软雅黑"/>
                <w:kern w:val="0"/>
                <w:shd w:val="clear" w:color="auto" w:fill="FFFFFF"/>
                <w:lang w:eastAsia="zh-CN"/>
              </w:rPr>
              <w:t>，</w:t>
            </w:r>
            <w:r>
              <w:rPr>
                <w:rFonts w:hint="eastAsia" w:ascii="宋体" w:hAnsi="宋体" w:cs="微软雅黑"/>
                <w:kern w:val="0"/>
                <w:shd w:val="clear" w:color="auto" w:fill="FFFFFF"/>
              </w:rPr>
              <w:t>得</w:t>
            </w:r>
            <w:r>
              <w:rPr>
                <w:rFonts w:hint="eastAsia" w:ascii="宋体" w:hAnsi="宋体" w:cs="微软雅黑"/>
                <w:kern w:val="0"/>
                <w:shd w:val="clear" w:color="auto" w:fill="FFFFFF"/>
                <w:lang w:val="en-US" w:eastAsia="zh-CN"/>
              </w:rPr>
              <w:t>1</w:t>
            </w:r>
            <w:r>
              <w:rPr>
                <w:rFonts w:hint="eastAsia" w:ascii="宋体" w:hAnsi="宋体" w:cs="微软雅黑"/>
                <w:kern w:val="0"/>
                <w:shd w:val="clear" w:color="auto" w:fill="FFFFFF"/>
              </w:rPr>
              <w:t>分；</w:t>
            </w:r>
          </w:p>
          <w:p>
            <w:pPr>
              <w:snapToGrid w:val="0"/>
              <w:spacing w:line="360" w:lineRule="exact"/>
              <w:rPr>
                <w:rFonts w:hint="eastAsia" w:ascii="宋体" w:hAnsi="宋体" w:eastAsia="宋体" w:cs="宋体"/>
                <w:kern w:val="0"/>
                <w:sz w:val="21"/>
                <w:szCs w:val="21"/>
                <w:shd w:val="clear" w:color="auto" w:fill="FFFFFF"/>
              </w:rPr>
            </w:pPr>
            <w:r>
              <w:rPr>
                <w:rFonts w:hint="eastAsia" w:ascii="宋体" w:hAnsi="宋体" w:eastAsia="宋体" w:cs="宋体"/>
                <w:kern w:val="0"/>
                <w:sz w:val="21"/>
                <w:szCs w:val="21"/>
                <w:shd w:val="clear" w:color="auto" w:fill="FFFFFF"/>
              </w:rPr>
              <w:t>（</w:t>
            </w:r>
            <w:r>
              <w:rPr>
                <w:rFonts w:hint="eastAsia" w:ascii="宋体" w:hAnsi="宋体" w:eastAsia="宋体" w:cs="宋体"/>
                <w:kern w:val="0"/>
                <w:sz w:val="21"/>
                <w:szCs w:val="21"/>
                <w:shd w:val="clear" w:color="auto" w:fill="FFFFFF"/>
                <w:lang w:val="en-US" w:eastAsia="zh-CN"/>
              </w:rPr>
              <w:t>3</w:t>
            </w:r>
            <w:r>
              <w:rPr>
                <w:rFonts w:hint="eastAsia" w:ascii="宋体" w:hAnsi="宋体" w:eastAsia="宋体" w:cs="宋体"/>
                <w:kern w:val="0"/>
                <w:sz w:val="21"/>
                <w:szCs w:val="21"/>
                <w:shd w:val="clear" w:color="auto" w:fill="FFFFFF"/>
              </w:rPr>
              <w:t>）</w:t>
            </w:r>
            <w:r>
              <w:rPr>
                <w:rFonts w:hint="eastAsia" w:ascii="宋体" w:hAnsi="宋体" w:eastAsia="宋体" w:cs="宋体"/>
                <w:kern w:val="0"/>
                <w:sz w:val="21"/>
                <w:szCs w:val="21"/>
                <w:shd w:val="clear" w:color="auto" w:fill="FFFFFF"/>
                <w:lang w:val="en-US" w:eastAsia="zh-CN"/>
              </w:rPr>
              <w:t>未提供方案的</w:t>
            </w:r>
            <w:r>
              <w:rPr>
                <w:rFonts w:hint="eastAsia" w:ascii="宋体" w:hAnsi="宋体" w:eastAsia="宋体" w:cs="宋体"/>
                <w:kern w:val="0"/>
                <w:sz w:val="21"/>
                <w:szCs w:val="21"/>
                <w:shd w:val="clear" w:color="auto" w:fill="FFFFFF"/>
              </w:rPr>
              <w:t>不得分</w:t>
            </w:r>
          </w:p>
        </w:tc>
      </w:tr>
      <w:tr>
        <w:tblPrEx>
          <w:tblCellMar>
            <w:top w:w="15" w:type="dxa"/>
            <w:left w:w="15" w:type="dxa"/>
            <w:bottom w:w="15" w:type="dxa"/>
            <w:right w:w="15" w:type="dxa"/>
          </w:tblCellMar>
        </w:tblPrEx>
        <w:trPr>
          <w:trHeight w:val="648" w:hRule="atLeast"/>
          <w:jc w:val="center"/>
        </w:trPr>
        <w:tc>
          <w:tcPr>
            <w:tcW w:w="837" w:type="dxa"/>
            <w:vMerge w:val="continue"/>
            <w:tcBorders>
              <w:left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eastAsia="宋体" w:cs="宋体"/>
                <w:sz w:val="24"/>
                <w:szCs w:val="24"/>
              </w:rPr>
            </w:pPr>
          </w:p>
        </w:tc>
        <w:tc>
          <w:tcPr>
            <w:tcW w:w="1198" w:type="dxa"/>
            <w:vMerge w:val="continue"/>
            <w:tcBorders>
              <w:left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eastAsia="宋体" w:cs="宋体"/>
                <w:kern w:val="0"/>
                <w:sz w:val="21"/>
                <w:szCs w:val="21"/>
              </w:rPr>
            </w:pPr>
          </w:p>
        </w:tc>
        <w:tc>
          <w:tcPr>
            <w:tcW w:w="909" w:type="dxa"/>
            <w:vMerge w:val="continue"/>
            <w:tcBorders>
              <w:left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eastAsia="宋体" w:cs="宋体"/>
                <w:kern w:val="0"/>
                <w:sz w:val="21"/>
                <w:szCs w:val="21"/>
              </w:rPr>
            </w:pPr>
          </w:p>
        </w:tc>
        <w:tc>
          <w:tcPr>
            <w:tcW w:w="5044" w:type="dxa"/>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numPr>
                <w:ilvl w:val="0"/>
                <w:numId w:val="2"/>
              </w:numPr>
              <w:snapToGrid w:val="0"/>
              <w:spacing w:line="360" w:lineRule="exact"/>
              <w:rPr>
                <w:rFonts w:hint="eastAsia"/>
              </w:rPr>
            </w:pPr>
            <w:r>
              <w:rPr>
                <w:rFonts w:hint="eastAsia"/>
              </w:rPr>
              <w:t>视参与本项目磋商的供应商提供的设备的安装</w:t>
            </w:r>
            <w:r>
              <w:rPr>
                <w:rFonts w:hint="eastAsia"/>
                <w:lang w:eastAsia="zh-CN"/>
              </w:rPr>
              <w:t>及调试</w:t>
            </w:r>
            <w:r>
              <w:rPr>
                <w:rFonts w:hint="eastAsia"/>
              </w:rPr>
              <w:t>等进行综合考评</w:t>
            </w:r>
            <w:r>
              <w:rPr>
                <w:rFonts w:hint="eastAsia"/>
                <w:lang w:eastAsia="zh-CN"/>
              </w:rPr>
              <w:t>，</w:t>
            </w:r>
            <w:r>
              <w:rPr>
                <w:rFonts w:hint="eastAsia" w:ascii="宋体" w:hAnsi="宋体" w:cs="微软雅黑"/>
                <w:kern w:val="0"/>
                <w:shd w:val="clear" w:color="auto" w:fill="FFFFFF"/>
                <w:lang w:val="en-US" w:eastAsia="zh-CN"/>
              </w:rPr>
              <w:t>满分3分。</w:t>
            </w:r>
          </w:p>
          <w:p>
            <w:pPr>
              <w:pStyle w:val="2"/>
              <w:ind w:left="0" w:leftChars="0" w:firstLine="0" w:firstLineChars="0"/>
              <w:rPr>
                <w:rFonts w:hint="eastAsia"/>
              </w:rPr>
            </w:pPr>
            <w:r>
              <w:rPr>
                <w:rFonts w:hint="eastAsia"/>
              </w:rPr>
              <w:t>（1）合理可行的得</w:t>
            </w:r>
            <w:r>
              <w:rPr>
                <w:rFonts w:hint="eastAsia"/>
                <w:lang w:val="en-US" w:eastAsia="zh-CN"/>
              </w:rPr>
              <w:t>3</w:t>
            </w:r>
            <w:r>
              <w:rPr>
                <w:rFonts w:hint="eastAsia"/>
              </w:rPr>
              <w:t>分；</w:t>
            </w:r>
          </w:p>
          <w:p>
            <w:pPr>
              <w:pStyle w:val="2"/>
              <w:ind w:firstLine="0" w:firstLineChars="0"/>
              <w:rPr>
                <w:rFonts w:ascii="宋体" w:hAnsi="宋体" w:cs="微软雅黑"/>
                <w:kern w:val="0"/>
                <w:shd w:val="clear" w:color="auto" w:fill="FFFFFF"/>
              </w:rPr>
            </w:pPr>
            <w:r>
              <w:rPr>
                <w:rFonts w:hint="eastAsia" w:ascii="宋体" w:hAnsi="宋体" w:cs="微软雅黑"/>
                <w:kern w:val="0"/>
                <w:shd w:val="clear" w:color="auto" w:fill="FFFFFF"/>
              </w:rPr>
              <w:t>（2）有不合理</w:t>
            </w:r>
            <w:r>
              <w:rPr>
                <w:rFonts w:hint="eastAsia" w:ascii="宋体" w:hAnsi="宋体" w:cs="微软雅黑"/>
                <w:kern w:val="0"/>
                <w:shd w:val="clear" w:color="auto" w:fill="FFFFFF"/>
                <w:lang w:eastAsia="zh-CN"/>
              </w:rPr>
              <w:t>一</w:t>
            </w:r>
            <w:r>
              <w:rPr>
                <w:rFonts w:hint="eastAsia" w:ascii="宋体" w:hAnsi="宋体" w:cs="微软雅黑"/>
                <w:kern w:val="0"/>
                <w:shd w:val="clear" w:color="auto" w:fill="FFFFFF"/>
              </w:rPr>
              <w:t>处</w:t>
            </w:r>
            <w:r>
              <w:rPr>
                <w:rFonts w:hint="eastAsia" w:ascii="宋体" w:hAnsi="宋体" w:cs="微软雅黑"/>
                <w:kern w:val="0"/>
                <w:shd w:val="clear" w:color="auto" w:fill="FFFFFF"/>
                <w:lang w:eastAsia="zh-CN"/>
              </w:rPr>
              <w:t>及以上</w:t>
            </w:r>
            <w:r>
              <w:rPr>
                <w:rFonts w:hint="eastAsia" w:ascii="宋体" w:hAnsi="宋体" w:cs="微软雅黑"/>
                <w:kern w:val="0"/>
                <w:shd w:val="clear" w:color="auto" w:fill="FFFFFF"/>
              </w:rPr>
              <w:t>的，或缺乏针对性的</w:t>
            </w:r>
            <w:r>
              <w:rPr>
                <w:rFonts w:hint="eastAsia" w:ascii="宋体" w:hAnsi="宋体" w:cs="微软雅黑"/>
                <w:kern w:val="0"/>
                <w:shd w:val="clear" w:color="auto" w:fill="FFFFFF"/>
                <w:lang w:eastAsia="zh-CN"/>
              </w:rPr>
              <w:t>，</w:t>
            </w:r>
            <w:r>
              <w:rPr>
                <w:rFonts w:hint="eastAsia" w:ascii="宋体" w:hAnsi="宋体" w:cs="微软雅黑"/>
                <w:kern w:val="0"/>
                <w:shd w:val="clear" w:color="auto" w:fill="FFFFFF"/>
              </w:rPr>
              <w:t>得</w:t>
            </w:r>
            <w:r>
              <w:rPr>
                <w:rFonts w:hint="eastAsia" w:ascii="宋体" w:hAnsi="宋体" w:cs="微软雅黑"/>
                <w:kern w:val="0"/>
                <w:shd w:val="clear" w:color="auto" w:fill="FFFFFF"/>
                <w:lang w:val="en-US" w:eastAsia="zh-CN"/>
              </w:rPr>
              <w:t>1</w:t>
            </w:r>
            <w:r>
              <w:rPr>
                <w:rFonts w:hint="eastAsia" w:ascii="宋体" w:hAnsi="宋体" w:cs="微软雅黑"/>
                <w:kern w:val="0"/>
                <w:shd w:val="clear" w:color="auto" w:fill="FFFFFF"/>
              </w:rPr>
              <w:t>分；</w:t>
            </w:r>
          </w:p>
          <w:p>
            <w:pPr>
              <w:pStyle w:val="2"/>
              <w:ind w:left="0" w:leftChars="0" w:firstLine="0" w:firstLineChars="0"/>
              <w:rPr>
                <w:rFonts w:hint="eastAsia"/>
              </w:rPr>
            </w:pPr>
            <w:r>
              <w:rPr>
                <w:rFonts w:hint="eastAsia"/>
              </w:rPr>
              <w:t>（</w:t>
            </w:r>
            <w:r>
              <w:rPr>
                <w:rFonts w:hint="eastAsia"/>
                <w:lang w:val="en-US" w:eastAsia="zh-CN"/>
              </w:rPr>
              <w:t>3</w:t>
            </w:r>
            <w:r>
              <w:rPr>
                <w:rFonts w:hint="eastAsia"/>
              </w:rPr>
              <w:t>）</w:t>
            </w:r>
            <w:r>
              <w:rPr>
                <w:rFonts w:hint="eastAsia" w:ascii="宋体" w:hAnsi="宋体" w:eastAsia="宋体" w:cs="宋体"/>
                <w:kern w:val="0"/>
                <w:sz w:val="21"/>
                <w:szCs w:val="21"/>
                <w:shd w:val="clear" w:color="auto" w:fill="FFFFFF"/>
                <w:lang w:val="en-US" w:eastAsia="zh-CN"/>
              </w:rPr>
              <w:t>未提供方案的</w:t>
            </w:r>
            <w:r>
              <w:rPr>
                <w:rFonts w:hint="eastAsia" w:ascii="宋体" w:hAnsi="宋体" w:eastAsia="宋体" w:cs="宋体"/>
                <w:kern w:val="0"/>
                <w:sz w:val="21"/>
                <w:szCs w:val="21"/>
                <w:shd w:val="clear" w:color="auto" w:fill="FFFFFF"/>
              </w:rPr>
              <w:t>不得分</w:t>
            </w:r>
          </w:p>
        </w:tc>
      </w:tr>
      <w:tr>
        <w:tblPrEx>
          <w:tblCellMar>
            <w:top w:w="15" w:type="dxa"/>
            <w:left w:w="15" w:type="dxa"/>
            <w:bottom w:w="15" w:type="dxa"/>
            <w:right w:w="15" w:type="dxa"/>
          </w:tblCellMar>
        </w:tblPrEx>
        <w:trPr>
          <w:trHeight w:val="1615" w:hRule="atLeast"/>
          <w:jc w:val="center"/>
        </w:trPr>
        <w:tc>
          <w:tcPr>
            <w:tcW w:w="837" w:type="dxa"/>
            <w:vMerge w:val="continue"/>
            <w:tcBorders>
              <w:left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eastAsia="宋体" w:cs="宋体"/>
                <w:sz w:val="24"/>
                <w:szCs w:val="24"/>
              </w:rPr>
            </w:pPr>
          </w:p>
        </w:tc>
        <w:tc>
          <w:tcPr>
            <w:tcW w:w="1198" w:type="dxa"/>
            <w:vMerge w:val="continue"/>
            <w:tcBorders>
              <w:left w:val="single" w:color="auto" w:sz="4" w:space="0"/>
              <w:right w:val="single" w:color="auto" w:sz="4" w:space="0"/>
            </w:tcBorders>
            <w:shd w:val="clear" w:color="auto" w:fill="FFFFFF"/>
            <w:noWrap w:val="0"/>
            <w:vAlign w:val="center"/>
          </w:tcPr>
          <w:p>
            <w:pPr>
              <w:jc w:val="center"/>
              <w:textAlignment w:val="center"/>
              <w:rPr>
                <w:rFonts w:hint="eastAsia" w:ascii="宋体" w:hAnsi="宋体" w:eastAsia="宋体" w:cs="宋体"/>
                <w:kern w:val="0"/>
                <w:sz w:val="21"/>
                <w:szCs w:val="21"/>
              </w:rPr>
            </w:pPr>
          </w:p>
        </w:tc>
        <w:tc>
          <w:tcPr>
            <w:tcW w:w="909" w:type="dxa"/>
            <w:vMerge w:val="continue"/>
            <w:tcBorders>
              <w:left w:val="single" w:color="auto" w:sz="4" w:space="0"/>
              <w:right w:val="single" w:color="auto" w:sz="4" w:space="0"/>
            </w:tcBorders>
            <w:shd w:val="clear" w:color="auto" w:fill="FFFFFF"/>
            <w:noWrap w:val="0"/>
            <w:vAlign w:val="center"/>
          </w:tcPr>
          <w:p>
            <w:pPr>
              <w:jc w:val="center"/>
              <w:textAlignment w:val="center"/>
              <w:rPr>
                <w:rFonts w:hint="eastAsia" w:ascii="宋体" w:hAnsi="宋体" w:eastAsia="宋体" w:cs="宋体"/>
                <w:kern w:val="0"/>
                <w:sz w:val="21"/>
                <w:szCs w:val="21"/>
              </w:rPr>
            </w:pPr>
          </w:p>
        </w:tc>
        <w:tc>
          <w:tcPr>
            <w:tcW w:w="5044" w:type="dxa"/>
            <w:tcBorders>
              <w:top w:val="single" w:color="000000" w:sz="4" w:space="0"/>
              <w:left w:val="single" w:color="000000" w:sz="4" w:space="0"/>
              <w:bottom w:val="single" w:color="auto" w:sz="4" w:space="0"/>
              <w:right w:val="single" w:color="000000" w:sz="4" w:space="0"/>
            </w:tcBorders>
            <w:shd w:val="clear" w:color="auto" w:fill="FFFFFF"/>
            <w:noWrap w:val="0"/>
            <w:vAlign w:val="top"/>
          </w:tcPr>
          <w:p>
            <w:pPr>
              <w:numPr>
                <w:ilvl w:val="0"/>
                <w:numId w:val="2"/>
              </w:numPr>
              <w:snapToGrid w:val="0"/>
              <w:spacing w:line="360" w:lineRule="exact"/>
              <w:ind w:left="0" w:leftChars="0" w:firstLine="0" w:firstLineChars="0"/>
              <w:rPr>
                <w:rFonts w:hint="eastAsia"/>
              </w:rPr>
            </w:pPr>
            <w:r>
              <w:rPr>
                <w:rFonts w:hint="eastAsia"/>
              </w:rPr>
              <w:t>视参与本项目磋商的供应商提供的</w:t>
            </w:r>
            <w:r>
              <w:rPr>
                <w:rFonts w:hint="eastAsia"/>
                <w:lang w:eastAsia="zh-CN"/>
              </w:rPr>
              <w:t>废物清理外运</w:t>
            </w:r>
            <w:r>
              <w:rPr>
                <w:rFonts w:hint="eastAsia"/>
              </w:rPr>
              <w:t>方案进行综合考评</w:t>
            </w:r>
            <w:r>
              <w:rPr>
                <w:rFonts w:hint="eastAsia"/>
                <w:lang w:eastAsia="zh-CN"/>
              </w:rPr>
              <w:t>，满分</w:t>
            </w:r>
            <w:r>
              <w:rPr>
                <w:rFonts w:hint="eastAsia"/>
                <w:lang w:val="en-US" w:eastAsia="zh-CN"/>
              </w:rPr>
              <w:t>3</w:t>
            </w:r>
            <w:r>
              <w:rPr>
                <w:rFonts w:hint="eastAsia"/>
                <w:lang w:eastAsia="zh-CN"/>
              </w:rPr>
              <w:t>分。</w:t>
            </w:r>
          </w:p>
          <w:p>
            <w:pPr>
              <w:pStyle w:val="2"/>
              <w:numPr>
                <w:ilvl w:val="0"/>
                <w:numId w:val="0"/>
              </w:numPr>
              <w:ind w:leftChars="0"/>
              <w:rPr>
                <w:rFonts w:hint="eastAsia"/>
              </w:rPr>
            </w:pPr>
            <w:r>
              <w:rPr>
                <w:rFonts w:hint="eastAsia"/>
              </w:rPr>
              <w:t>（1）合理可行的得</w:t>
            </w:r>
            <w:r>
              <w:rPr>
                <w:rFonts w:hint="eastAsia"/>
                <w:lang w:val="en-US" w:eastAsia="zh-CN"/>
              </w:rPr>
              <w:t>3</w:t>
            </w:r>
            <w:r>
              <w:rPr>
                <w:rFonts w:hint="eastAsia"/>
              </w:rPr>
              <w:t>分；</w:t>
            </w:r>
          </w:p>
          <w:p>
            <w:pPr>
              <w:pStyle w:val="2"/>
              <w:ind w:firstLine="0" w:firstLineChars="0"/>
              <w:rPr>
                <w:rFonts w:ascii="宋体" w:hAnsi="宋体" w:cs="微软雅黑"/>
                <w:kern w:val="0"/>
                <w:shd w:val="clear" w:color="auto" w:fill="FFFFFF"/>
              </w:rPr>
            </w:pPr>
            <w:r>
              <w:rPr>
                <w:rFonts w:hint="eastAsia" w:ascii="宋体" w:hAnsi="宋体" w:cs="微软雅黑"/>
                <w:kern w:val="0"/>
                <w:shd w:val="clear" w:color="auto" w:fill="FFFFFF"/>
              </w:rPr>
              <w:t>（2）有不合理</w:t>
            </w:r>
            <w:r>
              <w:rPr>
                <w:rFonts w:hint="eastAsia" w:ascii="宋体" w:hAnsi="宋体" w:cs="微软雅黑"/>
                <w:kern w:val="0"/>
                <w:shd w:val="clear" w:color="auto" w:fill="FFFFFF"/>
                <w:lang w:eastAsia="zh-CN"/>
              </w:rPr>
              <w:t>一</w:t>
            </w:r>
            <w:r>
              <w:rPr>
                <w:rFonts w:hint="eastAsia" w:ascii="宋体" w:hAnsi="宋体" w:cs="微软雅黑"/>
                <w:kern w:val="0"/>
                <w:shd w:val="clear" w:color="auto" w:fill="FFFFFF"/>
              </w:rPr>
              <w:t>处</w:t>
            </w:r>
            <w:r>
              <w:rPr>
                <w:rFonts w:hint="eastAsia" w:ascii="宋体" w:hAnsi="宋体" w:cs="微软雅黑"/>
                <w:kern w:val="0"/>
                <w:shd w:val="clear" w:color="auto" w:fill="FFFFFF"/>
                <w:lang w:eastAsia="zh-CN"/>
              </w:rPr>
              <w:t>及以上</w:t>
            </w:r>
            <w:r>
              <w:rPr>
                <w:rFonts w:hint="eastAsia" w:ascii="宋体" w:hAnsi="宋体" w:cs="微软雅黑"/>
                <w:kern w:val="0"/>
                <w:shd w:val="clear" w:color="auto" w:fill="FFFFFF"/>
              </w:rPr>
              <w:t>的，或缺乏针对性的</w:t>
            </w:r>
            <w:r>
              <w:rPr>
                <w:rFonts w:hint="eastAsia" w:ascii="宋体" w:hAnsi="宋体" w:cs="微软雅黑"/>
                <w:kern w:val="0"/>
                <w:shd w:val="clear" w:color="auto" w:fill="FFFFFF"/>
                <w:lang w:eastAsia="zh-CN"/>
              </w:rPr>
              <w:t>，</w:t>
            </w:r>
            <w:r>
              <w:rPr>
                <w:rFonts w:hint="eastAsia" w:ascii="宋体" w:hAnsi="宋体" w:cs="微软雅黑"/>
                <w:kern w:val="0"/>
                <w:shd w:val="clear" w:color="auto" w:fill="FFFFFF"/>
              </w:rPr>
              <w:t>得</w:t>
            </w:r>
            <w:r>
              <w:rPr>
                <w:rFonts w:hint="eastAsia" w:ascii="宋体" w:hAnsi="宋体" w:cs="微软雅黑"/>
                <w:kern w:val="0"/>
                <w:shd w:val="clear" w:color="auto" w:fill="FFFFFF"/>
                <w:lang w:val="en-US" w:eastAsia="zh-CN"/>
              </w:rPr>
              <w:t>1</w:t>
            </w:r>
            <w:r>
              <w:rPr>
                <w:rFonts w:hint="eastAsia" w:ascii="宋体" w:hAnsi="宋体" w:cs="微软雅黑"/>
                <w:kern w:val="0"/>
                <w:shd w:val="clear" w:color="auto" w:fill="FFFFFF"/>
              </w:rPr>
              <w:t>分；</w:t>
            </w:r>
          </w:p>
          <w:p>
            <w:pPr>
              <w:pStyle w:val="2"/>
              <w:numPr>
                <w:ilvl w:val="0"/>
                <w:numId w:val="0"/>
              </w:numPr>
              <w:ind w:leftChars="0"/>
              <w:rPr>
                <w:rFonts w:hint="eastAsia"/>
              </w:rPr>
            </w:pPr>
            <w:r>
              <w:rPr>
                <w:rFonts w:hint="eastAsia"/>
              </w:rPr>
              <w:t>（</w:t>
            </w:r>
            <w:r>
              <w:rPr>
                <w:rFonts w:hint="eastAsia"/>
                <w:lang w:val="en-US" w:eastAsia="zh-CN"/>
              </w:rPr>
              <w:t>3</w:t>
            </w:r>
            <w:r>
              <w:rPr>
                <w:rFonts w:hint="eastAsia"/>
              </w:rPr>
              <w:t>）</w:t>
            </w:r>
            <w:r>
              <w:rPr>
                <w:rFonts w:hint="eastAsia" w:ascii="宋体" w:hAnsi="宋体" w:eastAsia="宋体" w:cs="宋体"/>
                <w:kern w:val="0"/>
                <w:sz w:val="21"/>
                <w:szCs w:val="21"/>
                <w:shd w:val="clear" w:color="auto" w:fill="FFFFFF"/>
                <w:lang w:val="en-US" w:eastAsia="zh-CN"/>
              </w:rPr>
              <w:t>未提供方案的</w:t>
            </w:r>
            <w:r>
              <w:rPr>
                <w:rFonts w:hint="eastAsia" w:ascii="宋体" w:hAnsi="宋体" w:eastAsia="宋体" w:cs="宋体"/>
                <w:kern w:val="0"/>
                <w:sz w:val="21"/>
                <w:szCs w:val="21"/>
                <w:shd w:val="clear" w:color="auto" w:fill="FFFFFF"/>
              </w:rPr>
              <w:t>不得分</w:t>
            </w:r>
            <w:r>
              <w:rPr>
                <w:rFonts w:hint="eastAsia"/>
              </w:rPr>
              <w:t>。</w:t>
            </w:r>
          </w:p>
        </w:tc>
      </w:tr>
      <w:tr>
        <w:tblPrEx>
          <w:tblCellMar>
            <w:top w:w="15" w:type="dxa"/>
            <w:left w:w="15" w:type="dxa"/>
            <w:bottom w:w="15" w:type="dxa"/>
            <w:right w:w="15" w:type="dxa"/>
          </w:tblCellMar>
        </w:tblPrEx>
        <w:trPr>
          <w:trHeight w:val="1615" w:hRule="atLeast"/>
          <w:jc w:val="center"/>
        </w:trPr>
        <w:tc>
          <w:tcPr>
            <w:tcW w:w="837" w:type="dxa"/>
            <w:vMerge w:val="continue"/>
            <w:tcBorders>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eastAsia="宋体" w:cs="宋体"/>
                <w:sz w:val="24"/>
                <w:szCs w:val="24"/>
              </w:rPr>
            </w:pPr>
          </w:p>
        </w:tc>
        <w:tc>
          <w:tcPr>
            <w:tcW w:w="1198"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textAlignment w:val="center"/>
              <w:rPr>
                <w:rFonts w:hint="eastAsia" w:ascii="宋体" w:hAnsi="宋体" w:eastAsia="宋体" w:cs="宋体"/>
                <w:kern w:val="0"/>
                <w:sz w:val="21"/>
                <w:szCs w:val="21"/>
              </w:rPr>
            </w:pPr>
          </w:p>
        </w:tc>
        <w:tc>
          <w:tcPr>
            <w:tcW w:w="909" w:type="dxa"/>
            <w:vMerge w:val="continue"/>
            <w:tcBorders>
              <w:left w:val="single" w:color="auto" w:sz="4" w:space="0"/>
              <w:bottom w:val="single" w:color="auto" w:sz="4" w:space="0"/>
              <w:right w:val="single" w:color="auto" w:sz="4" w:space="0"/>
            </w:tcBorders>
            <w:shd w:val="clear" w:color="auto" w:fill="FFFFFF"/>
            <w:noWrap w:val="0"/>
            <w:vAlign w:val="center"/>
          </w:tcPr>
          <w:p>
            <w:pPr>
              <w:jc w:val="center"/>
              <w:textAlignment w:val="center"/>
              <w:rPr>
                <w:rFonts w:hint="eastAsia" w:ascii="宋体" w:hAnsi="宋体" w:eastAsia="宋体" w:cs="宋体"/>
                <w:kern w:val="0"/>
                <w:sz w:val="21"/>
                <w:szCs w:val="21"/>
              </w:rPr>
            </w:pPr>
          </w:p>
        </w:tc>
        <w:tc>
          <w:tcPr>
            <w:tcW w:w="5044" w:type="dxa"/>
            <w:tcBorders>
              <w:top w:val="single" w:color="000000" w:sz="4" w:space="0"/>
              <w:left w:val="single" w:color="000000" w:sz="4" w:space="0"/>
              <w:bottom w:val="single" w:color="auto" w:sz="4" w:space="0"/>
              <w:right w:val="single" w:color="000000" w:sz="4" w:space="0"/>
            </w:tcBorders>
            <w:shd w:val="clear" w:color="auto" w:fill="FFFFFF"/>
            <w:noWrap w:val="0"/>
            <w:vAlign w:val="top"/>
          </w:tcPr>
          <w:p>
            <w:pPr>
              <w:numPr>
                <w:ilvl w:val="0"/>
                <w:numId w:val="2"/>
              </w:numPr>
              <w:snapToGrid w:val="0"/>
              <w:spacing w:line="360" w:lineRule="exact"/>
              <w:ind w:left="0" w:leftChars="0" w:firstLine="0" w:firstLineChars="0"/>
              <w:rPr>
                <w:rFonts w:hint="eastAsia"/>
              </w:rPr>
            </w:pPr>
            <w:r>
              <w:rPr>
                <w:rFonts w:hint="eastAsia"/>
              </w:rPr>
              <w:t>视参与本项目磋商的供应商提供</w:t>
            </w:r>
            <w:r>
              <w:rPr>
                <w:rFonts w:hint="eastAsia"/>
                <w:lang w:eastAsia="zh-CN"/>
              </w:rPr>
              <w:t>的原有设备保护</w:t>
            </w:r>
            <w:r>
              <w:rPr>
                <w:rFonts w:hint="eastAsia"/>
              </w:rPr>
              <w:t>进行综合考评</w:t>
            </w:r>
            <w:r>
              <w:rPr>
                <w:rFonts w:hint="eastAsia"/>
                <w:lang w:eastAsia="zh-CN"/>
              </w:rPr>
              <w:t>，满分</w:t>
            </w:r>
            <w:r>
              <w:rPr>
                <w:rFonts w:hint="eastAsia"/>
                <w:lang w:val="en-US" w:eastAsia="zh-CN"/>
              </w:rPr>
              <w:t>3</w:t>
            </w:r>
            <w:r>
              <w:rPr>
                <w:rFonts w:hint="eastAsia"/>
                <w:lang w:eastAsia="zh-CN"/>
              </w:rPr>
              <w:t>分。</w:t>
            </w:r>
          </w:p>
          <w:p>
            <w:pPr>
              <w:pStyle w:val="2"/>
              <w:numPr>
                <w:ilvl w:val="0"/>
                <w:numId w:val="0"/>
              </w:numPr>
              <w:ind w:leftChars="0"/>
              <w:rPr>
                <w:rFonts w:hint="eastAsia"/>
              </w:rPr>
            </w:pPr>
            <w:r>
              <w:rPr>
                <w:rFonts w:hint="eastAsia"/>
              </w:rPr>
              <w:t>（1）合理可行的得</w:t>
            </w:r>
            <w:r>
              <w:rPr>
                <w:rFonts w:hint="eastAsia"/>
                <w:lang w:val="en-US" w:eastAsia="zh-CN"/>
              </w:rPr>
              <w:t>3</w:t>
            </w:r>
            <w:r>
              <w:rPr>
                <w:rFonts w:hint="eastAsia"/>
              </w:rPr>
              <w:t>分；</w:t>
            </w:r>
          </w:p>
          <w:p>
            <w:pPr>
              <w:pStyle w:val="2"/>
              <w:numPr>
                <w:ilvl w:val="0"/>
                <w:numId w:val="0"/>
              </w:numPr>
              <w:ind w:leftChars="0"/>
              <w:rPr>
                <w:rFonts w:hint="eastAsia"/>
              </w:rPr>
            </w:pPr>
            <w:r>
              <w:rPr>
                <w:rFonts w:hint="eastAsia" w:ascii="宋体" w:hAnsi="宋体" w:cs="微软雅黑"/>
                <w:kern w:val="0"/>
                <w:shd w:val="clear" w:color="auto" w:fill="FFFFFF"/>
              </w:rPr>
              <w:t>（2）有不合理</w:t>
            </w:r>
            <w:r>
              <w:rPr>
                <w:rFonts w:hint="eastAsia" w:ascii="宋体" w:hAnsi="宋体" w:cs="微软雅黑"/>
                <w:kern w:val="0"/>
                <w:shd w:val="clear" w:color="auto" w:fill="FFFFFF"/>
                <w:lang w:eastAsia="zh-CN"/>
              </w:rPr>
              <w:t>一</w:t>
            </w:r>
            <w:r>
              <w:rPr>
                <w:rFonts w:hint="eastAsia" w:ascii="宋体" w:hAnsi="宋体" w:cs="微软雅黑"/>
                <w:kern w:val="0"/>
                <w:shd w:val="clear" w:color="auto" w:fill="FFFFFF"/>
              </w:rPr>
              <w:t>处</w:t>
            </w:r>
            <w:r>
              <w:rPr>
                <w:rFonts w:hint="eastAsia" w:ascii="宋体" w:hAnsi="宋体" w:cs="微软雅黑"/>
                <w:kern w:val="0"/>
                <w:shd w:val="clear" w:color="auto" w:fill="FFFFFF"/>
                <w:lang w:eastAsia="zh-CN"/>
              </w:rPr>
              <w:t>及以上</w:t>
            </w:r>
            <w:r>
              <w:rPr>
                <w:rFonts w:hint="eastAsia" w:ascii="宋体" w:hAnsi="宋体" w:cs="微软雅黑"/>
                <w:kern w:val="0"/>
                <w:shd w:val="clear" w:color="auto" w:fill="FFFFFF"/>
              </w:rPr>
              <w:t>的，或缺乏针对性的</w:t>
            </w:r>
            <w:r>
              <w:rPr>
                <w:rFonts w:hint="eastAsia" w:ascii="宋体" w:hAnsi="宋体" w:cs="微软雅黑"/>
                <w:kern w:val="0"/>
                <w:shd w:val="clear" w:color="auto" w:fill="FFFFFF"/>
                <w:lang w:eastAsia="zh-CN"/>
              </w:rPr>
              <w:t>，</w:t>
            </w:r>
            <w:r>
              <w:rPr>
                <w:rFonts w:hint="eastAsia" w:ascii="宋体" w:hAnsi="宋体" w:cs="微软雅黑"/>
                <w:kern w:val="0"/>
                <w:shd w:val="clear" w:color="auto" w:fill="FFFFFF"/>
              </w:rPr>
              <w:t>得</w:t>
            </w:r>
            <w:r>
              <w:rPr>
                <w:rFonts w:hint="eastAsia" w:ascii="宋体" w:hAnsi="宋体" w:cs="微软雅黑"/>
                <w:kern w:val="0"/>
                <w:shd w:val="clear" w:color="auto" w:fill="FFFFFF"/>
                <w:lang w:val="en-US" w:eastAsia="zh-CN"/>
              </w:rPr>
              <w:t>1</w:t>
            </w:r>
            <w:r>
              <w:rPr>
                <w:rFonts w:hint="eastAsia" w:ascii="宋体" w:hAnsi="宋体" w:cs="微软雅黑"/>
                <w:kern w:val="0"/>
                <w:shd w:val="clear" w:color="auto" w:fill="FFFFFF"/>
              </w:rPr>
              <w:t>分；</w:t>
            </w:r>
          </w:p>
          <w:p>
            <w:pPr>
              <w:pStyle w:val="2"/>
              <w:numPr>
                <w:ilvl w:val="0"/>
                <w:numId w:val="0"/>
              </w:numPr>
              <w:ind w:leftChars="0"/>
              <w:rPr>
                <w:rFonts w:hint="eastAsia"/>
              </w:rPr>
            </w:pPr>
            <w:r>
              <w:rPr>
                <w:rFonts w:hint="eastAsia"/>
              </w:rPr>
              <w:t>（</w:t>
            </w:r>
            <w:r>
              <w:rPr>
                <w:rFonts w:hint="eastAsia"/>
                <w:lang w:val="en-US" w:eastAsia="zh-CN"/>
              </w:rPr>
              <w:t>3</w:t>
            </w:r>
            <w:r>
              <w:rPr>
                <w:rFonts w:hint="eastAsia"/>
              </w:rPr>
              <w:t>）</w:t>
            </w:r>
            <w:r>
              <w:rPr>
                <w:rFonts w:hint="eastAsia" w:ascii="宋体" w:hAnsi="宋体" w:eastAsia="宋体" w:cs="宋体"/>
                <w:kern w:val="0"/>
                <w:sz w:val="21"/>
                <w:szCs w:val="21"/>
                <w:shd w:val="clear" w:color="auto" w:fill="FFFFFF"/>
                <w:lang w:val="en-US" w:eastAsia="zh-CN"/>
              </w:rPr>
              <w:t>未提供方案的</w:t>
            </w:r>
            <w:r>
              <w:rPr>
                <w:rFonts w:hint="eastAsia" w:ascii="宋体" w:hAnsi="宋体" w:eastAsia="宋体" w:cs="宋体"/>
                <w:kern w:val="0"/>
                <w:sz w:val="21"/>
                <w:szCs w:val="21"/>
                <w:shd w:val="clear" w:color="auto" w:fill="FFFFFF"/>
              </w:rPr>
              <w:t>不得分</w:t>
            </w:r>
            <w:r>
              <w:rPr>
                <w:rFonts w:hint="eastAsia"/>
              </w:rPr>
              <w:t>。</w:t>
            </w:r>
          </w:p>
        </w:tc>
      </w:tr>
      <w:tr>
        <w:tblPrEx>
          <w:tblCellMar>
            <w:top w:w="15" w:type="dxa"/>
            <w:left w:w="15" w:type="dxa"/>
            <w:bottom w:w="15" w:type="dxa"/>
            <w:right w:w="15" w:type="dxa"/>
          </w:tblCellMar>
        </w:tblPrEx>
        <w:trPr>
          <w:trHeight w:val="1615" w:hRule="atLeast"/>
          <w:jc w:val="center"/>
        </w:trPr>
        <w:tc>
          <w:tcPr>
            <w:tcW w:w="837" w:type="dxa"/>
            <w:tcBorders>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eastAsia="宋体" w:cs="宋体"/>
                <w:sz w:val="24"/>
                <w:szCs w:val="24"/>
                <w:lang w:eastAsia="zh-CN"/>
              </w:rPr>
            </w:pPr>
            <w:r>
              <w:rPr>
                <w:rFonts w:hint="eastAsia" w:ascii="宋体" w:hAnsi="宋体" w:eastAsia="宋体" w:cs="宋体"/>
                <w:sz w:val="24"/>
                <w:szCs w:val="24"/>
                <w:lang w:eastAsia="zh-CN"/>
              </w:rPr>
              <w:t>三</w:t>
            </w:r>
          </w:p>
        </w:tc>
        <w:tc>
          <w:tcPr>
            <w:tcW w:w="1198" w:type="dxa"/>
            <w:tcBorders>
              <w:left w:val="single" w:color="auto" w:sz="4" w:space="0"/>
              <w:bottom w:val="single" w:color="auto" w:sz="4" w:space="0"/>
              <w:right w:val="single" w:color="auto" w:sz="4" w:space="0"/>
            </w:tcBorders>
            <w:shd w:val="clear" w:color="auto" w:fill="FFFFFF"/>
            <w:noWrap w:val="0"/>
            <w:vAlign w:val="center"/>
          </w:tcPr>
          <w:p>
            <w:pPr>
              <w:jc w:val="center"/>
              <w:textAlignment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疫情防控</w:t>
            </w:r>
          </w:p>
        </w:tc>
        <w:tc>
          <w:tcPr>
            <w:tcW w:w="909" w:type="dxa"/>
            <w:tcBorders>
              <w:left w:val="single" w:color="auto" w:sz="4" w:space="0"/>
              <w:bottom w:val="single" w:color="auto" w:sz="4" w:space="0"/>
              <w:right w:val="single" w:color="auto" w:sz="4" w:space="0"/>
            </w:tcBorders>
            <w:shd w:val="clear" w:color="auto" w:fill="FFFFFF"/>
            <w:noWrap w:val="0"/>
            <w:vAlign w:val="center"/>
          </w:tcPr>
          <w:p>
            <w:pPr>
              <w:jc w:val="center"/>
              <w:textAlignment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w:t>
            </w:r>
          </w:p>
        </w:tc>
        <w:tc>
          <w:tcPr>
            <w:tcW w:w="5044" w:type="dxa"/>
            <w:tcBorders>
              <w:top w:val="single" w:color="000000" w:sz="4" w:space="0"/>
              <w:left w:val="single" w:color="000000" w:sz="4" w:space="0"/>
              <w:bottom w:val="single" w:color="auto" w:sz="4" w:space="0"/>
              <w:right w:val="single" w:color="000000" w:sz="4" w:space="0"/>
            </w:tcBorders>
            <w:shd w:val="clear" w:color="auto" w:fill="FFFFFF"/>
            <w:noWrap w:val="0"/>
            <w:vAlign w:val="top"/>
          </w:tcPr>
          <w:p>
            <w:pPr>
              <w:pStyle w:val="2"/>
              <w:numPr>
                <w:ilvl w:val="0"/>
                <w:numId w:val="0"/>
              </w:numPr>
              <w:ind w:leftChars="0"/>
              <w:rPr>
                <w:rFonts w:hint="eastAsia"/>
              </w:rPr>
            </w:pPr>
            <w:r>
              <w:rPr>
                <w:rFonts w:hint="eastAsia"/>
                <w:lang w:val="en-US" w:eastAsia="zh-CN"/>
              </w:rPr>
              <w:t>1）</w:t>
            </w:r>
            <w:r>
              <w:rPr>
                <w:rFonts w:hint="eastAsia"/>
              </w:rPr>
              <w:t>服从有关部门和学校防控相关要求，建立疫情防控责任组织机构并明确职责，设置专门防疫管理人员，具有针对性的疫情防控制度和疫情防控措施，防控物资齐备，满分</w:t>
            </w:r>
            <w:r>
              <w:rPr>
                <w:rFonts w:hint="eastAsia"/>
                <w:lang w:val="en-US" w:eastAsia="zh-CN"/>
              </w:rPr>
              <w:t>5</w:t>
            </w:r>
            <w:r>
              <w:rPr>
                <w:rFonts w:hint="eastAsia"/>
              </w:rPr>
              <w:t>分。</w:t>
            </w:r>
          </w:p>
          <w:p>
            <w:pPr>
              <w:pStyle w:val="2"/>
              <w:numPr>
                <w:ilvl w:val="0"/>
                <w:numId w:val="0"/>
              </w:numPr>
              <w:ind w:leftChars="0"/>
              <w:rPr>
                <w:rFonts w:hint="eastAsia"/>
              </w:rPr>
            </w:pPr>
            <w:r>
              <w:rPr>
                <w:rFonts w:hint="eastAsia"/>
              </w:rPr>
              <w:t>（1）全面合理可行的得</w:t>
            </w:r>
            <w:r>
              <w:rPr>
                <w:rFonts w:hint="eastAsia"/>
                <w:lang w:val="en-US" w:eastAsia="zh-CN"/>
              </w:rPr>
              <w:t>5</w:t>
            </w:r>
            <w:r>
              <w:rPr>
                <w:rFonts w:hint="eastAsia"/>
              </w:rPr>
              <w:t>分；</w:t>
            </w:r>
          </w:p>
          <w:p>
            <w:pPr>
              <w:pStyle w:val="2"/>
              <w:ind w:firstLine="0" w:firstLineChars="0"/>
              <w:rPr>
                <w:rFonts w:hint="eastAsia"/>
              </w:rPr>
            </w:pPr>
            <w:r>
              <w:rPr>
                <w:rFonts w:hint="eastAsia" w:ascii="宋体" w:hAnsi="宋体" w:cs="微软雅黑"/>
                <w:kern w:val="0"/>
                <w:shd w:val="clear" w:color="auto" w:fill="FFFFFF"/>
              </w:rPr>
              <w:t>（2）有不合理</w:t>
            </w:r>
            <w:r>
              <w:rPr>
                <w:rFonts w:hint="eastAsia" w:ascii="宋体" w:hAnsi="宋体" w:cs="微软雅黑"/>
                <w:kern w:val="0"/>
                <w:shd w:val="clear" w:color="auto" w:fill="FFFFFF"/>
                <w:lang w:eastAsia="zh-CN"/>
              </w:rPr>
              <w:t>一</w:t>
            </w:r>
            <w:r>
              <w:rPr>
                <w:rFonts w:hint="eastAsia" w:ascii="宋体" w:hAnsi="宋体" w:cs="微软雅黑"/>
                <w:kern w:val="0"/>
                <w:shd w:val="clear" w:color="auto" w:fill="FFFFFF"/>
              </w:rPr>
              <w:t>处</w:t>
            </w:r>
            <w:r>
              <w:rPr>
                <w:rFonts w:hint="eastAsia" w:ascii="宋体" w:hAnsi="宋体" w:cs="微软雅黑"/>
                <w:kern w:val="0"/>
                <w:shd w:val="clear" w:color="auto" w:fill="FFFFFF"/>
                <w:lang w:eastAsia="zh-CN"/>
              </w:rPr>
              <w:t>及以上</w:t>
            </w:r>
            <w:r>
              <w:rPr>
                <w:rFonts w:hint="eastAsia" w:ascii="宋体" w:hAnsi="宋体" w:cs="微软雅黑"/>
                <w:kern w:val="0"/>
                <w:shd w:val="clear" w:color="auto" w:fill="FFFFFF"/>
              </w:rPr>
              <w:t>的，或缺乏针对性的</w:t>
            </w:r>
            <w:r>
              <w:rPr>
                <w:rFonts w:hint="eastAsia" w:ascii="宋体" w:hAnsi="宋体" w:cs="微软雅黑"/>
                <w:kern w:val="0"/>
                <w:shd w:val="clear" w:color="auto" w:fill="FFFFFF"/>
                <w:lang w:eastAsia="zh-CN"/>
              </w:rPr>
              <w:t>，</w:t>
            </w:r>
            <w:r>
              <w:rPr>
                <w:rFonts w:hint="eastAsia" w:ascii="宋体" w:hAnsi="宋体" w:cs="微软雅黑"/>
                <w:kern w:val="0"/>
                <w:shd w:val="clear" w:color="auto" w:fill="FFFFFF"/>
              </w:rPr>
              <w:t>得</w:t>
            </w:r>
            <w:r>
              <w:rPr>
                <w:rFonts w:hint="eastAsia" w:ascii="宋体" w:hAnsi="宋体" w:cs="微软雅黑"/>
                <w:kern w:val="0"/>
                <w:shd w:val="clear" w:color="auto" w:fill="FFFFFF"/>
                <w:lang w:val="en-US" w:eastAsia="zh-CN"/>
              </w:rPr>
              <w:t>3</w:t>
            </w:r>
            <w:r>
              <w:rPr>
                <w:rFonts w:hint="eastAsia" w:ascii="宋体" w:hAnsi="宋体" w:cs="微软雅黑"/>
                <w:kern w:val="0"/>
                <w:shd w:val="clear" w:color="auto" w:fill="FFFFFF"/>
              </w:rPr>
              <w:t>分；</w:t>
            </w:r>
          </w:p>
          <w:p>
            <w:pPr>
              <w:pStyle w:val="2"/>
              <w:numPr>
                <w:ilvl w:val="0"/>
                <w:numId w:val="0"/>
              </w:numPr>
              <w:ind w:leftChars="0"/>
              <w:rPr>
                <w:rFonts w:hint="eastAsia"/>
              </w:rPr>
            </w:pPr>
            <w:r>
              <w:rPr>
                <w:rFonts w:hint="eastAsia"/>
              </w:rPr>
              <w:t>（</w:t>
            </w:r>
            <w:r>
              <w:rPr>
                <w:rFonts w:hint="eastAsia"/>
                <w:lang w:val="en-US" w:eastAsia="zh-CN"/>
              </w:rPr>
              <w:t>3</w:t>
            </w:r>
            <w:r>
              <w:rPr>
                <w:rFonts w:hint="eastAsia"/>
              </w:rPr>
              <w:t>）未提供方案的不得分。</w:t>
            </w:r>
          </w:p>
        </w:tc>
      </w:tr>
      <w:tr>
        <w:tblPrEx>
          <w:tblCellMar>
            <w:top w:w="15" w:type="dxa"/>
            <w:left w:w="15" w:type="dxa"/>
            <w:bottom w:w="15" w:type="dxa"/>
            <w:right w:w="15" w:type="dxa"/>
          </w:tblCellMar>
        </w:tblPrEx>
        <w:trPr>
          <w:trHeight w:val="1126" w:hRule="atLeast"/>
          <w:jc w:val="center"/>
        </w:trPr>
        <w:tc>
          <w:tcPr>
            <w:tcW w:w="837" w:type="dxa"/>
            <w:vMerge w:val="restart"/>
            <w:tcBorders>
              <w:top w:val="single" w:color="auto" w:sz="4" w:space="0"/>
              <w:left w:val="single" w:color="auto" w:sz="4" w:space="0"/>
              <w:right w:val="single" w:color="auto" w:sz="4" w:space="0"/>
            </w:tcBorders>
            <w:shd w:val="clear" w:color="auto" w:fill="FFFFFF"/>
            <w:noWrap w:val="0"/>
            <w:vAlign w:val="center"/>
          </w:tcPr>
          <w:p>
            <w:pPr>
              <w:widowControl/>
              <w:jc w:val="center"/>
              <w:textAlignment w:val="center"/>
              <w:rPr>
                <w:rFonts w:hint="default" w:ascii="宋体" w:hAnsi="宋体" w:eastAsia="宋体" w:cs="宋体"/>
                <w:sz w:val="24"/>
                <w:szCs w:val="24"/>
                <w:lang w:val="en-US" w:eastAsia="zh-CN"/>
              </w:rPr>
            </w:pPr>
            <w:r>
              <w:rPr>
                <w:rFonts w:hint="eastAsia" w:ascii="宋体" w:hAnsi="宋体" w:eastAsia="宋体" w:cs="宋体"/>
                <w:sz w:val="24"/>
                <w:szCs w:val="24"/>
                <w:lang w:eastAsia="zh-CN"/>
              </w:rPr>
              <w:t>四</w:t>
            </w:r>
            <w:r>
              <w:rPr>
                <w:rFonts w:hint="eastAsia" w:ascii="宋体" w:hAnsi="宋体" w:eastAsia="宋体" w:cs="宋体"/>
                <w:sz w:val="24"/>
                <w:szCs w:val="24"/>
                <w:lang w:val="en-US" w:eastAsia="zh-CN"/>
              </w:rPr>
              <w:t xml:space="preserve"> </w:t>
            </w:r>
          </w:p>
        </w:tc>
        <w:tc>
          <w:tcPr>
            <w:tcW w:w="1198" w:type="dxa"/>
            <w:vMerge w:val="restart"/>
            <w:tcBorders>
              <w:top w:val="single" w:color="auto" w:sz="4" w:space="0"/>
              <w:left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eastAsia="宋体" w:cs="宋体"/>
                <w:sz w:val="21"/>
                <w:szCs w:val="21"/>
              </w:rPr>
            </w:pPr>
            <w:r>
              <w:rPr>
                <w:rFonts w:hint="eastAsia" w:ascii="宋体" w:hAnsi="宋体" w:eastAsia="宋体" w:cs="宋体"/>
                <w:kern w:val="0"/>
                <w:sz w:val="21"/>
                <w:szCs w:val="21"/>
              </w:rPr>
              <w:t>售后服务</w:t>
            </w:r>
          </w:p>
        </w:tc>
        <w:tc>
          <w:tcPr>
            <w:tcW w:w="909" w:type="dxa"/>
            <w:vMerge w:val="restart"/>
            <w:tcBorders>
              <w:top w:val="single" w:color="auto" w:sz="4" w:space="0"/>
              <w:left w:val="single" w:color="auto" w:sz="4" w:space="0"/>
              <w:right w:val="single" w:color="auto" w:sz="4" w:space="0"/>
            </w:tcBorders>
            <w:shd w:val="clear" w:color="auto" w:fill="FFFFFF"/>
            <w:noWrap w:val="0"/>
            <w:vAlign w:val="center"/>
          </w:tcPr>
          <w:p>
            <w:pPr>
              <w:widowControl/>
              <w:jc w:val="center"/>
              <w:textAlignment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11</w:t>
            </w:r>
          </w:p>
        </w:tc>
        <w:tc>
          <w:tcPr>
            <w:tcW w:w="50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2"/>
              <w:numPr>
                <w:ilvl w:val="0"/>
                <w:numId w:val="0"/>
              </w:numPr>
              <w:ind w:leftChars="0"/>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1）供应商应提供售后服务承诺函并加盖供应商公章。</w:t>
            </w:r>
          </w:p>
          <w:p>
            <w:pPr>
              <w:pStyle w:val="2"/>
              <w:numPr>
                <w:ilvl w:val="0"/>
                <w:numId w:val="0"/>
              </w:numPr>
              <w:rPr>
                <w:rFonts w:hint="eastAsia" w:ascii="宋体" w:hAnsi="宋体" w:eastAsia="宋体" w:cs="宋体"/>
                <w:sz w:val="21"/>
                <w:szCs w:val="21"/>
                <w:highlight w:val="none"/>
                <w:lang w:val="en-US" w:eastAsia="zh-CN"/>
              </w:rPr>
            </w:pPr>
            <w:r>
              <w:rPr>
                <w:rFonts w:hint="eastAsia"/>
                <w:lang w:eastAsia="zh-CN"/>
              </w:rPr>
              <w:t>（</w:t>
            </w:r>
            <w:r>
              <w:rPr>
                <w:rFonts w:hint="eastAsia"/>
                <w:lang w:val="en-US" w:eastAsia="zh-CN"/>
              </w:rPr>
              <w:t>1</w:t>
            </w:r>
            <w:r>
              <w:rPr>
                <w:rFonts w:hint="eastAsia"/>
                <w:lang w:eastAsia="zh-CN"/>
              </w:rPr>
              <w:t>）</w:t>
            </w:r>
            <w:r>
              <w:rPr>
                <w:rFonts w:hint="eastAsia"/>
              </w:rPr>
              <w:t>全面合理可行的得</w:t>
            </w:r>
            <w:r>
              <w:rPr>
                <w:rFonts w:hint="eastAsia"/>
                <w:lang w:val="en-US" w:eastAsia="zh-CN"/>
              </w:rPr>
              <w:t>4</w:t>
            </w:r>
            <w:r>
              <w:rPr>
                <w:rFonts w:hint="eastAsia"/>
              </w:rPr>
              <w:t>分</w:t>
            </w:r>
            <w:r>
              <w:rPr>
                <w:rFonts w:hint="eastAsia" w:ascii="宋体" w:hAnsi="宋体" w:eastAsia="宋体" w:cs="宋体"/>
                <w:sz w:val="21"/>
                <w:szCs w:val="21"/>
                <w:highlight w:val="none"/>
                <w:lang w:val="en-US" w:eastAsia="zh-CN"/>
              </w:rPr>
              <w:t>；</w:t>
            </w:r>
          </w:p>
          <w:p>
            <w:pPr>
              <w:pStyle w:val="2"/>
              <w:numPr>
                <w:ilvl w:val="0"/>
                <w:numId w:val="0"/>
              </w:numP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w:t>
            </w:r>
            <w:r>
              <w:rPr>
                <w:rFonts w:hint="eastAsia" w:ascii="宋体" w:hAnsi="宋体" w:cs="微软雅黑"/>
                <w:kern w:val="0"/>
                <w:shd w:val="clear" w:color="auto" w:fill="FFFFFF"/>
              </w:rPr>
              <w:t>有不合理</w:t>
            </w:r>
            <w:r>
              <w:rPr>
                <w:rFonts w:hint="eastAsia" w:ascii="宋体" w:hAnsi="宋体" w:cs="微软雅黑"/>
                <w:kern w:val="0"/>
                <w:shd w:val="clear" w:color="auto" w:fill="FFFFFF"/>
                <w:lang w:eastAsia="zh-CN"/>
              </w:rPr>
              <w:t>一</w:t>
            </w:r>
            <w:r>
              <w:rPr>
                <w:rFonts w:hint="eastAsia" w:ascii="宋体" w:hAnsi="宋体" w:cs="微软雅黑"/>
                <w:kern w:val="0"/>
                <w:shd w:val="clear" w:color="auto" w:fill="FFFFFF"/>
              </w:rPr>
              <w:t>处</w:t>
            </w:r>
            <w:r>
              <w:rPr>
                <w:rFonts w:hint="eastAsia" w:ascii="宋体" w:hAnsi="宋体" w:cs="微软雅黑"/>
                <w:kern w:val="0"/>
                <w:shd w:val="clear" w:color="auto" w:fill="FFFFFF"/>
                <w:lang w:eastAsia="zh-CN"/>
              </w:rPr>
              <w:t>及以上</w:t>
            </w:r>
            <w:r>
              <w:rPr>
                <w:rFonts w:hint="eastAsia" w:ascii="宋体" w:hAnsi="宋体" w:cs="微软雅黑"/>
                <w:kern w:val="0"/>
                <w:shd w:val="clear" w:color="auto" w:fill="FFFFFF"/>
              </w:rPr>
              <w:t>的，或缺乏针对性的</w:t>
            </w:r>
            <w:r>
              <w:rPr>
                <w:rFonts w:hint="eastAsia" w:ascii="宋体" w:hAnsi="宋体" w:cs="微软雅黑"/>
                <w:kern w:val="0"/>
                <w:shd w:val="clear" w:color="auto" w:fill="FFFFFF"/>
                <w:lang w:eastAsia="zh-CN"/>
              </w:rPr>
              <w:t>，</w:t>
            </w:r>
            <w:r>
              <w:rPr>
                <w:rFonts w:hint="eastAsia" w:ascii="宋体" w:hAnsi="宋体" w:cs="微软雅黑"/>
                <w:kern w:val="0"/>
                <w:shd w:val="clear" w:color="auto" w:fill="FFFFFF"/>
              </w:rPr>
              <w:t>得</w:t>
            </w:r>
            <w:r>
              <w:rPr>
                <w:rFonts w:hint="eastAsia" w:ascii="宋体" w:hAnsi="宋体" w:cs="微软雅黑"/>
                <w:kern w:val="0"/>
                <w:shd w:val="clear" w:color="auto" w:fill="FFFFFF"/>
                <w:lang w:val="en-US" w:eastAsia="zh-CN"/>
              </w:rPr>
              <w:t>2</w:t>
            </w:r>
            <w:r>
              <w:rPr>
                <w:rFonts w:hint="eastAsia" w:ascii="宋体" w:hAnsi="宋体" w:cs="微软雅黑"/>
                <w:kern w:val="0"/>
                <w:shd w:val="clear" w:color="auto" w:fill="FFFFFF"/>
              </w:rPr>
              <w:t>分</w:t>
            </w:r>
            <w:r>
              <w:rPr>
                <w:rFonts w:hint="eastAsia" w:ascii="宋体" w:hAnsi="宋体" w:eastAsia="宋体" w:cs="宋体"/>
                <w:sz w:val="21"/>
                <w:szCs w:val="21"/>
                <w:highlight w:val="none"/>
                <w:lang w:val="en-US" w:eastAsia="zh-CN"/>
              </w:rPr>
              <w:t>；</w:t>
            </w:r>
          </w:p>
          <w:p>
            <w:pPr>
              <w:pStyle w:val="2"/>
              <w:numPr>
                <w:ilvl w:val="0"/>
                <w:numId w:val="0"/>
              </w:numPr>
              <w:rPr>
                <w:rFonts w:hint="default" w:ascii="宋体" w:hAnsi="宋体"/>
                <w:sz w:val="21"/>
                <w:szCs w:val="21"/>
                <w:highlight w:val="yellow"/>
                <w:shd w:val="clear" w:color="auto" w:fill="FFFFFF"/>
                <w:lang w:val="en-US" w:eastAsia="zh-CN"/>
              </w:rPr>
            </w:pPr>
            <w:r>
              <w:rPr>
                <w:rFonts w:hint="eastAsia" w:ascii="宋体" w:hAnsi="宋体" w:eastAsia="宋体" w:cs="宋体"/>
                <w:sz w:val="21"/>
                <w:szCs w:val="21"/>
                <w:highlight w:val="none"/>
                <w:lang w:val="en-US" w:eastAsia="zh-CN"/>
              </w:rPr>
              <w:t>（3）</w:t>
            </w:r>
            <w:r>
              <w:rPr>
                <w:rFonts w:hint="eastAsia"/>
              </w:rPr>
              <w:t>未提供方案的不得分</w:t>
            </w:r>
            <w:r>
              <w:rPr>
                <w:rFonts w:hint="eastAsia" w:ascii="宋体" w:hAnsi="宋体" w:eastAsia="宋体" w:cs="宋体"/>
                <w:sz w:val="21"/>
                <w:szCs w:val="21"/>
                <w:highlight w:val="none"/>
                <w:lang w:val="en-US" w:eastAsia="zh-CN"/>
              </w:rPr>
              <w:t>。</w:t>
            </w:r>
          </w:p>
        </w:tc>
      </w:tr>
      <w:tr>
        <w:tblPrEx>
          <w:tblCellMar>
            <w:top w:w="15" w:type="dxa"/>
            <w:left w:w="15" w:type="dxa"/>
            <w:bottom w:w="15" w:type="dxa"/>
            <w:right w:w="15" w:type="dxa"/>
          </w:tblCellMar>
        </w:tblPrEx>
        <w:trPr>
          <w:trHeight w:val="1485" w:hRule="atLeast"/>
          <w:jc w:val="center"/>
        </w:trPr>
        <w:tc>
          <w:tcPr>
            <w:tcW w:w="837" w:type="dxa"/>
            <w:vMerge w:val="continue"/>
            <w:tcBorders>
              <w:left w:val="single" w:color="auto" w:sz="4" w:space="0"/>
              <w:right w:val="single" w:color="auto" w:sz="4" w:space="0"/>
            </w:tcBorders>
            <w:shd w:val="clear" w:color="auto" w:fill="FFFFFF"/>
            <w:noWrap w:val="0"/>
            <w:vAlign w:val="center"/>
          </w:tcPr>
          <w:p>
            <w:pPr>
              <w:pStyle w:val="2"/>
              <w:ind w:left="0" w:leftChars="0" w:firstLine="0" w:firstLineChars="0"/>
            </w:pPr>
          </w:p>
        </w:tc>
        <w:tc>
          <w:tcPr>
            <w:tcW w:w="1198" w:type="dxa"/>
            <w:vMerge w:val="continue"/>
            <w:tcBorders>
              <w:left w:val="single" w:color="auto" w:sz="4" w:space="0"/>
              <w:right w:val="single" w:color="auto" w:sz="4" w:space="0"/>
            </w:tcBorders>
            <w:shd w:val="clear" w:color="auto" w:fill="FFFFFF"/>
            <w:noWrap w:val="0"/>
            <w:vAlign w:val="center"/>
          </w:tcPr>
          <w:p>
            <w:pPr>
              <w:pStyle w:val="2"/>
              <w:ind w:left="0" w:leftChars="0" w:firstLine="0" w:firstLineChars="0"/>
            </w:pPr>
          </w:p>
        </w:tc>
        <w:tc>
          <w:tcPr>
            <w:tcW w:w="909" w:type="dxa"/>
            <w:vMerge w:val="continue"/>
            <w:tcBorders>
              <w:left w:val="single" w:color="auto" w:sz="4" w:space="0"/>
              <w:right w:val="single" w:color="auto" w:sz="4" w:space="0"/>
            </w:tcBorders>
            <w:shd w:val="clear" w:color="auto" w:fill="FFFFFF"/>
            <w:noWrap w:val="0"/>
            <w:vAlign w:val="center"/>
          </w:tcPr>
          <w:p>
            <w:pPr>
              <w:pStyle w:val="2"/>
              <w:ind w:left="0" w:leftChars="0" w:firstLine="0" w:firstLineChars="0"/>
            </w:pPr>
          </w:p>
        </w:tc>
        <w:tc>
          <w:tcPr>
            <w:tcW w:w="50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2"/>
              <w:numPr>
                <w:ilvl w:val="0"/>
                <w:numId w:val="1"/>
              </w:numPr>
              <w:ind w:left="0" w:leftChars="0" w:firstLine="0" w:firstLineChars="0"/>
              <w:rPr>
                <w:rFonts w:hint="eastAsia" w:ascii="宋体" w:hAnsi="宋体" w:eastAsia="宋体" w:cs="宋体"/>
                <w:color w:val="auto"/>
                <w:szCs w:val="21"/>
              </w:rPr>
            </w:pPr>
            <w:r>
              <w:rPr>
                <w:rFonts w:hint="eastAsia" w:ascii="宋体" w:hAnsi="宋体" w:eastAsia="宋体" w:cs="宋体"/>
                <w:color w:val="auto"/>
                <w:szCs w:val="21"/>
              </w:rPr>
              <w:t>供应商需提供完善的售后支持服务，需要在货物验收后提供持续的技术支持，能够提供专人专项快速响应</w:t>
            </w:r>
            <w:r>
              <w:rPr>
                <w:rFonts w:hint="eastAsia" w:ascii="宋体" w:hAnsi="宋体" w:eastAsia="宋体" w:cs="宋体"/>
                <w:color w:val="auto"/>
                <w:szCs w:val="21"/>
                <w:lang w:eastAsia="zh-CN"/>
              </w:rPr>
              <w:t>，</w:t>
            </w:r>
            <w:r>
              <w:rPr>
                <w:rFonts w:hint="eastAsia" w:ascii="宋体" w:hAnsi="宋体" w:eastAsia="宋体" w:cs="宋体"/>
                <w:color w:val="auto"/>
                <w:szCs w:val="21"/>
              </w:rPr>
              <w:t>7*24技术支持服务</w:t>
            </w:r>
            <w:r>
              <w:rPr>
                <w:rFonts w:hint="eastAsia" w:ascii="宋体" w:hAnsi="宋体" w:eastAsia="宋体" w:cs="宋体"/>
                <w:color w:val="auto"/>
                <w:szCs w:val="21"/>
                <w:lang w:eastAsia="zh-CN"/>
              </w:rPr>
              <w:t>，</w:t>
            </w:r>
            <w:r>
              <w:rPr>
                <w:rFonts w:hint="eastAsia" w:ascii="宋体" w:hAnsi="宋体" w:eastAsia="宋体" w:cs="宋体"/>
                <w:color w:val="auto"/>
                <w:szCs w:val="21"/>
              </w:rPr>
              <w:t>包括邮件、电话、现场支持等，重大时刻现场值守服务</w:t>
            </w:r>
            <w:r>
              <w:rPr>
                <w:rFonts w:hint="eastAsia" w:ascii="宋体" w:hAnsi="宋体" w:eastAsia="宋体" w:cs="宋体"/>
                <w:color w:val="auto"/>
                <w:szCs w:val="21"/>
                <w:lang w:eastAsia="zh-CN"/>
              </w:rPr>
              <w:t>。</w:t>
            </w:r>
            <w:r>
              <w:rPr>
                <w:rFonts w:hint="eastAsia" w:ascii="宋体" w:hAnsi="宋体" w:eastAsia="宋体" w:cs="宋体"/>
                <w:color w:val="auto"/>
                <w:szCs w:val="21"/>
              </w:rPr>
              <w:t>支持形式由双方根据需要协商；</w:t>
            </w:r>
          </w:p>
          <w:p>
            <w:pPr>
              <w:pStyle w:val="2"/>
              <w:numPr>
                <w:ilvl w:val="0"/>
                <w:numId w:val="0"/>
              </w:numPr>
              <w:rPr>
                <w:rFonts w:hint="eastAsia" w:ascii="宋体" w:hAnsi="宋体" w:eastAsia="宋体" w:cs="宋体"/>
                <w:sz w:val="21"/>
                <w:szCs w:val="21"/>
                <w:highlight w:val="none"/>
                <w:lang w:val="en-US" w:eastAsia="zh-CN"/>
              </w:rPr>
            </w:pPr>
            <w:r>
              <w:rPr>
                <w:rFonts w:hint="eastAsia"/>
                <w:lang w:eastAsia="zh-CN"/>
              </w:rPr>
              <w:t>（</w:t>
            </w:r>
            <w:r>
              <w:rPr>
                <w:rFonts w:hint="eastAsia"/>
                <w:lang w:val="en-US" w:eastAsia="zh-CN"/>
              </w:rPr>
              <w:t>1</w:t>
            </w:r>
            <w:r>
              <w:rPr>
                <w:rFonts w:hint="eastAsia"/>
                <w:lang w:eastAsia="zh-CN"/>
              </w:rPr>
              <w:t>）</w:t>
            </w:r>
            <w:r>
              <w:rPr>
                <w:rFonts w:hint="eastAsia"/>
              </w:rPr>
              <w:t>全面合理可行的得</w:t>
            </w:r>
            <w:r>
              <w:rPr>
                <w:rFonts w:hint="eastAsia"/>
                <w:lang w:val="en-US" w:eastAsia="zh-CN"/>
              </w:rPr>
              <w:t>4</w:t>
            </w:r>
            <w:r>
              <w:rPr>
                <w:rFonts w:hint="eastAsia"/>
              </w:rPr>
              <w:t>分</w:t>
            </w:r>
            <w:r>
              <w:rPr>
                <w:rFonts w:hint="eastAsia" w:ascii="宋体" w:hAnsi="宋体" w:eastAsia="宋体" w:cs="宋体"/>
                <w:sz w:val="21"/>
                <w:szCs w:val="21"/>
                <w:highlight w:val="none"/>
                <w:lang w:val="en-US" w:eastAsia="zh-CN"/>
              </w:rPr>
              <w:t>；</w:t>
            </w:r>
          </w:p>
          <w:p>
            <w:pPr>
              <w:pStyle w:val="2"/>
              <w:numPr>
                <w:ilvl w:val="0"/>
                <w:numId w:val="0"/>
              </w:numP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w:t>
            </w:r>
            <w:r>
              <w:rPr>
                <w:rFonts w:hint="eastAsia" w:ascii="宋体" w:hAnsi="宋体" w:cs="微软雅黑"/>
                <w:kern w:val="0"/>
                <w:shd w:val="clear" w:color="auto" w:fill="FFFFFF"/>
              </w:rPr>
              <w:t>有不合理</w:t>
            </w:r>
            <w:r>
              <w:rPr>
                <w:rFonts w:hint="eastAsia" w:ascii="宋体" w:hAnsi="宋体" w:cs="微软雅黑"/>
                <w:kern w:val="0"/>
                <w:shd w:val="clear" w:color="auto" w:fill="FFFFFF"/>
                <w:lang w:eastAsia="zh-CN"/>
              </w:rPr>
              <w:t>一</w:t>
            </w:r>
            <w:r>
              <w:rPr>
                <w:rFonts w:hint="eastAsia" w:ascii="宋体" w:hAnsi="宋体" w:cs="微软雅黑"/>
                <w:kern w:val="0"/>
                <w:shd w:val="clear" w:color="auto" w:fill="FFFFFF"/>
              </w:rPr>
              <w:t>处</w:t>
            </w:r>
            <w:r>
              <w:rPr>
                <w:rFonts w:hint="eastAsia" w:ascii="宋体" w:hAnsi="宋体" w:cs="微软雅黑"/>
                <w:kern w:val="0"/>
                <w:shd w:val="clear" w:color="auto" w:fill="FFFFFF"/>
                <w:lang w:eastAsia="zh-CN"/>
              </w:rPr>
              <w:t>及以上</w:t>
            </w:r>
            <w:r>
              <w:rPr>
                <w:rFonts w:hint="eastAsia" w:ascii="宋体" w:hAnsi="宋体" w:cs="微软雅黑"/>
                <w:kern w:val="0"/>
                <w:shd w:val="clear" w:color="auto" w:fill="FFFFFF"/>
              </w:rPr>
              <w:t>的，或缺乏针对性的</w:t>
            </w:r>
            <w:r>
              <w:rPr>
                <w:rFonts w:hint="eastAsia" w:ascii="宋体" w:hAnsi="宋体" w:cs="微软雅黑"/>
                <w:kern w:val="0"/>
                <w:shd w:val="clear" w:color="auto" w:fill="FFFFFF"/>
                <w:lang w:eastAsia="zh-CN"/>
              </w:rPr>
              <w:t>，</w:t>
            </w:r>
            <w:r>
              <w:rPr>
                <w:rFonts w:hint="eastAsia" w:ascii="宋体" w:hAnsi="宋体" w:cs="微软雅黑"/>
                <w:kern w:val="0"/>
                <w:shd w:val="clear" w:color="auto" w:fill="FFFFFF"/>
              </w:rPr>
              <w:t>得</w:t>
            </w:r>
            <w:r>
              <w:rPr>
                <w:rFonts w:hint="eastAsia" w:ascii="宋体" w:hAnsi="宋体" w:cs="微软雅黑"/>
                <w:kern w:val="0"/>
                <w:shd w:val="clear" w:color="auto" w:fill="FFFFFF"/>
                <w:lang w:val="en-US" w:eastAsia="zh-CN"/>
              </w:rPr>
              <w:t>2</w:t>
            </w:r>
            <w:r>
              <w:rPr>
                <w:rFonts w:hint="eastAsia" w:ascii="宋体" w:hAnsi="宋体" w:cs="微软雅黑"/>
                <w:kern w:val="0"/>
                <w:shd w:val="clear" w:color="auto" w:fill="FFFFFF"/>
              </w:rPr>
              <w:t>分</w:t>
            </w:r>
            <w:r>
              <w:rPr>
                <w:rFonts w:hint="eastAsia" w:ascii="宋体" w:hAnsi="宋体" w:eastAsia="宋体" w:cs="宋体"/>
                <w:sz w:val="21"/>
                <w:szCs w:val="21"/>
                <w:highlight w:val="none"/>
                <w:lang w:val="en-US" w:eastAsia="zh-CN"/>
              </w:rPr>
              <w:t>；</w:t>
            </w:r>
          </w:p>
          <w:p>
            <w:pPr>
              <w:pStyle w:val="2"/>
              <w:numPr>
                <w:ilvl w:val="0"/>
                <w:numId w:val="0"/>
              </w:numPr>
              <w:ind w:leftChars="0"/>
              <w:rPr>
                <w:rFonts w:hint="eastAsia" w:ascii="宋体" w:hAnsi="宋体"/>
                <w:sz w:val="21"/>
                <w:szCs w:val="21"/>
                <w:highlight w:val="none"/>
                <w:shd w:val="clear" w:color="auto" w:fill="FFFFFF"/>
                <w:lang w:val="en-US" w:eastAsia="zh-CN"/>
              </w:rPr>
            </w:pPr>
            <w:r>
              <w:rPr>
                <w:rFonts w:hint="eastAsia" w:ascii="宋体" w:hAnsi="宋体" w:eastAsia="宋体" w:cs="宋体"/>
                <w:sz w:val="21"/>
                <w:szCs w:val="21"/>
                <w:highlight w:val="none"/>
                <w:lang w:val="en-US" w:eastAsia="zh-CN"/>
              </w:rPr>
              <w:t>（3）</w:t>
            </w:r>
            <w:r>
              <w:rPr>
                <w:rFonts w:hint="eastAsia"/>
              </w:rPr>
              <w:t>未提供方案的不得分</w:t>
            </w:r>
            <w:r>
              <w:rPr>
                <w:rFonts w:hint="eastAsia" w:ascii="宋体" w:hAnsi="宋体" w:eastAsia="宋体" w:cs="宋体"/>
                <w:sz w:val="21"/>
                <w:szCs w:val="21"/>
                <w:highlight w:val="none"/>
                <w:lang w:val="en-US" w:eastAsia="zh-CN"/>
              </w:rPr>
              <w:t>。</w:t>
            </w:r>
          </w:p>
        </w:tc>
      </w:tr>
      <w:tr>
        <w:tblPrEx>
          <w:tblCellMar>
            <w:top w:w="15" w:type="dxa"/>
            <w:left w:w="15" w:type="dxa"/>
            <w:bottom w:w="15" w:type="dxa"/>
            <w:right w:w="15" w:type="dxa"/>
          </w:tblCellMar>
        </w:tblPrEx>
        <w:trPr>
          <w:trHeight w:val="1021" w:hRule="atLeast"/>
          <w:jc w:val="center"/>
        </w:trPr>
        <w:tc>
          <w:tcPr>
            <w:tcW w:w="837" w:type="dxa"/>
            <w:vMerge w:val="continue"/>
            <w:tcBorders>
              <w:left w:val="single" w:color="auto" w:sz="4" w:space="0"/>
              <w:bottom w:val="single" w:color="auto" w:sz="4" w:space="0"/>
              <w:right w:val="single" w:color="auto" w:sz="4" w:space="0"/>
            </w:tcBorders>
            <w:shd w:val="clear" w:color="auto" w:fill="FFFFFF"/>
            <w:noWrap w:val="0"/>
            <w:vAlign w:val="center"/>
          </w:tcPr>
          <w:p>
            <w:pPr>
              <w:pStyle w:val="2"/>
              <w:ind w:left="0" w:leftChars="0" w:firstLine="0" w:firstLineChars="0"/>
              <w:rPr>
                <w:rFonts w:hint="eastAsia" w:ascii="宋体" w:hAnsi="宋体"/>
                <w:sz w:val="21"/>
                <w:szCs w:val="21"/>
                <w:highlight w:val="none"/>
                <w:shd w:val="clear" w:color="auto" w:fill="FFFFFF"/>
                <w:lang w:val="en-US" w:eastAsia="zh-CN"/>
              </w:rPr>
            </w:pPr>
          </w:p>
        </w:tc>
        <w:tc>
          <w:tcPr>
            <w:tcW w:w="1198" w:type="dxa"/>
            <w:vMerge w:val="continue"/>
            <w:tcBorders>
              <w:left w:val="single" w:color="auto" w:sz="4" w:space="0"/>
              <w:bottom w:val="single" w:color="auto" w:sz="4" w:space="0"/>
              <w:right w:val="single" w:color="auto" w:sz="4" w:space="0"/>
            </w:tcBorders>
            <w:shd w:val="clear" w:color="auto" w:fill="FFFFFF"/>
            <w:noWrap w:val="0"/>
            <w:vAlign w:val="center"/>
          </w:tcPr>
          <w:p>
            <w:pPr>
              <w:pStyle w:val="2"/>
              <w:ind w:left="0" w:leftChars="0" w:firstLine="0" w:firstLineChars="0"/>
              <w:rPr>
                <w:rFonts w:hint="eastAsia" w:ascii="宋体" w:hAnsi="宋体"/>
                <w:sz w:val="21"/>
                <w:szCs w:val="21"/>
                <w:highlight w:val="none"/>
                <w:shd w:val="clear" w:color="auto" w:fill="FFFFFF"/>
                <w:lang w:val="en-US" w:eastAsia="zh-CN"/>
              </w:rPr>
            </w:pPr>
          </w:p>
        </w:tc>
        <w:tc>
          <w:tcPr>
            <w:tcW w:w="909" w:type="dxa"/>
            <w:vMerge w:val="continue"/>
            <w:tcBorders>
              <w:left w:val="single" w:color="auto" w:sz="4" w:space="0"/>
              <w:bottom w:val="single" w:color="auto" w:sz="4" w:space="0"/>
              <w:right w:val="single" w:color="auto" w:sz="4" w:space="0"/>
            </w:tcBorders>
            <w:shd w:val="clear" w:color="auto" w:fill="FFFFFF"/>
            <w:noWrap w:val="0"/>
            <w:vAlign w:val="center"/>
          </w:tcPr>
          <w:p>
            <w:pPr>
              <w:pStyle w:val="2"/>
              <w:ind w:left="0" w:leftChars="0" w:firstLine="0" w:firstLineChars="0"/>
              <w:rPr>
                <w:rFonts w:hint="eastAsia" w:ascii="宋体" w:hAnsi="宋体"/>
                <w:sz w:val="21"/>
                <w:szCs w:val="21"/>
                <w:highlight w:val="none"/>
                <w:shd w:val="clear" w:color="auto" w:fill="FFFFFF"/>
                <w:lang w:val="en-US" w:eastAsia="zh-CN"/>
              </w:rPr>
            </w:pPr>
          </w:p>
        </w:tc>
        <w:tc>
          <w:tcPr>
            <w:tcW w:w="50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2"/>
              <w:numPr>
                <w:ilvl w:val="0"/>
                <w:numId w:val="0"/>
              </w:numPr>
              <w:ind w:leftChars="0"/>
              <w:rPr>
                <w:rFonts w:hint="default" w:ascii="宋体" w:hAnsi="宋体" w:cs="微软雅黑"/>
                <w:kern w:val="0"/>
                <w:shd w:val="clear" w:color="auto" w:fill="FFFFFF"/>
                <w:lang w:val="en-US" w:eastAsia="zh-CN"/>
              </w:rPr>
            </w:pPr>
            <w:r>
              <w:rPr>
                <w:rFonts w:hint="eastAsia" w:ascii="宋体" w:hAnsi="宋体" w:eastAsia="宋体"/>
                <w:color w:val="auto"/>
                <w:szCs w:val="21"/>
                <w:shd w:val="clear" w:color="auto" w:fill="FFFFFF"/>
                <w:lang w:val="en-US" w:eastAsia="zh-CN"/>
              </w:rPr>
              <w:t>3</w:t>
            </w:r>
            <w:r>
              <w:rPr>
                <w:rFonts w:hint="eastAsia" w:ascii="宋体" w:hAnsi="宋体" w:eastAsia="宋体" w:cs="宋体"/>
                <w:color w:val="auto"/>
                <w:szCs w:val="21"/>
              </w:rPr>
              <w:t>）</w:t>
            </w:r>
            <w:r>
              <w:rPr>
                <w:rFonts w:hint="eastAsia" w:ascii="宋体" w:hAnsi="宋体"/>
                <w:color w:val="auto"/>
                <w:szCs w:val="21"/>
                <w:shd w:val="clear" w:color="auto" w:fill="FFFFFF"/>
              </w:rPr>
              <w:t>提供质保期外的技术维修服务方案及配件供应服务</w:t>
            </w:r>
            <w:r>
              <w:rPr>
                <w:rFonts w:hint="eastAsia" w:ascii="宋体" w:hAnsi="宋体"/>
                <w:color w:val="auto"/>
                <w:szCs w:val="21"/>
                <w:shd w:val="clear" w:color="auto" w:fill="FFFFFF"/>
                <w:lang w:eastAsia="zh-CN"/>
              </w:rPr>
              <w:t>承诺</w:t>
            </w:r>
            <w:r>
              <w:rPr>
                <w:rFonts w:hint="eastAsia" w:ascii="宋体" w:hAnsi="宋体"/>
                <w:color w:val="auto"/>
                <w:szCs w:val="21"/>
                <w:shd w:val="clear" w:color="auto" w:fill="FFFFFF"/>
              </w:rPr>
              <w:t>，得</w:t>
            </w:r>
            <w:r>
              <w:rPr>
                <w:rFonts w:hint="eastAsia" w:ascii="宋体" w:hAnsi="宋体"/>
                <w:color w:val="auto"/>
                <w:szCs w:val="21"/>
                <w:shd w:val="clear" w:color="auto" w:fill="FFFFFF"/>
                <w:lang w:val="en-US" w:eastAsia="zh-CN"/>
              </w:rPr>
              <w:t>3</w:t>
            </w:r>
            <w:r>
              <w:rPr>
                <w:rFonts w:hint="eastAsia" w:ascii="宋体" w:hAnsi="宋体"/>
                <w:color w:val="auto"/>
                <w:szCs w:val="21"/>
                <w:shd w:val="clear" w:color="auto" w:fill="FFFFFF"/>
              </w:rPr>
              <w:t>分；没有承诺不得分。</w:t>
            </w:r>
          </w:p>
        </w:tc>
      </w:tr>
      <w:tr>
        <w:tblPrEx>
          <w:tblCellMar>
            <w:top w:w="15" w:type="dxa"/>
            <w:left w:w="15" w:type="dxa"/>
            <w:bottom w:w="15" w:type="dxa"/>
            <w:right w:w="15" w:type="dxa"/>
          </w:tblCellMar>
        </w:tblPrEx>
        <w:trPr>
          <w:trHeight w:val="606" w:hRule="atLeast"/>
          <w:jc w:val="center"/>
        </w:trPr>
        <w:tc>
          <w:tcPr>
            <w:tcW w:w="8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eastAsia="宋体" w:cs="宋体"/>
                <w:sz w:val="24"/>
                <w:szCs w:val="24"/>
                <w:lang w:eastAsia="zh-CN"/>
              </w:rPr>
            </w:pPr>
            <w:r>
              <w:rPr>
                <w:rFonts w:hint="eastAsia" w:ascii="宋体" w:hAnsi="宋体" w:eastAsia="宋体" w:cs="宋体"/>
                <w:sz w:val="24"/>
                <w:szCs w:val="24"/>
                <w:lang w:eastAsia="zh-CN"/>
              </w:rPr>
              <w:t>五</w:t>
            </w:r>
          </w:p>
        </w:tc>
        <w:tc>
          <w:tcPr>
            <w:tcW w:w="11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产品认证</w:t>
            </w:r>
          </w:p>
        </w:tc>
        <w:tc>
          <w:tcPr>
            <w:tcW w:w="9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5</w:t>
            </w:r>
          </w:p>
        </w:tc>
        <w:tc>
          <w:tcPr>
            <w:tcW w:w="50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2"/>
              <w:ind w:left="0" w:leftChars="0" w:firstLine="0" w:firstLineChars="0"/>
              <w:rPr>
                <w:rFonts w:hint="eastAsia" w:ascii="宋体" w:hAnsi="宋体"/>
                <w:sz w:val="21"/>
                <w:szCs w:val="21"/>
                <w:highlight w:val="none"/>
                <w:shd w:val="clear" w:color="auto" w:fill="FFFFFF"/>
                <w:lang w:val="en-US" w:eastAsia="zh-CN"/>
              </w:rPr>
            </w:pPr>
            <w:r>
              <w:rPr>
                <w:rFonts w:hint="eastAsia" w:ascii="宋体" w:hAnsi="宋体"/>
                <w:sz w:val="21"/>
                <w:szCs w:val="21"/>
                <w:highlight w:val="none"/>
                <w:shd w:val="clear" w:color="auto" w:fill="FFFFFF"/>
                <w:lang w:val="en-US" w:eastAsia="zh-CN"/>
              </w:rPr>
              <w:t>篮球架生产厂家具有国际篮联认证企业，加5分。</w:t>
            </w:r>
          </w:p>
        </w:tc>
      </w:tr>
      <w:tr>
        <w:tblPrEx>
          <w:tblCellMar>
            <w:top w:w="15" w:type="dxa"/>
            <w:left w:w="15" w:type="dxa"/>
            <w:bottom w:w="15" w:type="dxa"/>
            <w:right w:w="15" w:type="dxa"/>
          </w:tblCellMar>
        </w:tblPrEx>
        <w:trPr>
          <w:trHeight w:val="315" w:hRule="atLeast"/>
          <w:jc w:val="center"/>
        </w:trPr>
        <w:tc>
          <w:tcPr>
            <w:tcW w:w="8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六</w:t>
            </w:r>
          </w:p>
        </w:tc>
        <w:tc>
          <w:tcPr>
            <w:tcW w:w="11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价格评分</w:t>
            </w:r>
          </w:p>
          <w:p>
            <w:pPr>
              <w:spacing w:line="300" w:lineRule="exact"/>
              <w:jc w:val="center"/>
              <w:rPr>
                <w:rFonts w:hint="eastAsia" w:ascii="宋体" w:hAnsi="宋体" w:eastAsia="宋体" w:cs="宋体"/>
                <w:sz w:val="21"/>
                <w:szCs w:val="21"/>
              </w:rPr>
            </w:pPr>
            <w:r>
              <w:rPr>
                <w:rFonts w:hint="eastAsia" w:ascii="宋体" w:hAnsi="宋体" w:eastAsia="宋体" w:cs="宋体"/>
                <w:kern w:val="0"/>
                <w:sz w:val="21"/>
                <w:szCs w:val="21"/>
              </w:rPr>
              <w:t>（</w:t>
            </w:r>
            <w:r>
              <w:rPr>
                <w:rFonts w:hint="eastAsia" w:ascii="宋体" w:hAnsi="宋体" w:eastAsia="宋体" w:cs="宋体"/>
                <w:kern w:val="0"/>
                <w:sz w:val="21"/>
                <w:szCs w:val="21"/>
                <w:lang w:val="en-US" w:eastAsia="zh-CN"/>
              </w:rPr>
              <w:t>30</w:t>
            </w:r>
            <w:r>
              <w:rPr>
                <w:rFonts w:hint="eastAsia" w:ascii="宋体" w:hAnsi="宋体" w:eastAsia="宋体" w:cs="宋体"/>
                <w:kern w:val="0"/>
                <w:sz w:val="21"/>
                <w:szCs w:val="21"/>
              </w:rPr>
              <w:t>）</w:t>
            </w:r>
          </w:p>
        </w:tc>
        <w:tc>
          <w:tcPr>
            <w:tcW w:w="9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spacing w:line="300" w:lineRule="exact"/>
              <w:jc w:val="center"/>
              <w:rPr>
                <w:rFonts w:hint="eastAsia" w:ascii="宋体" w:hAnsi="宋体" w:eastAsia="宋体" w:cs="宋体"/>
                <w:kern w:val="0"/>
                <w:sz w:val="21"/>
                <w:szCs w:val="21"/>
              </w:rPr>
            </w:pPr>
            <w:r>
              <w:rPr>
                <w:rFonts w:hint="eastAsia" w:ascii="宋体" w:hAnsi="宋体" w:eastAsia="宋体" w:cs="宋体"/>
                <w:kern w:val="0"/>
                <w:sz w:val="21"/>
                <w:szCs w:val="21"/>
              </w:rPr>
              <w:t>最后报价（</w:t>
            </w:r>
            <w:r>
              <w:rPr>
                <w:rFonts w:hint="eastAsia" w:ascii="宋体" w:hAnsi="宋体" w:eastAsia="宋体" w:cs="宋体"/>
                <w:kern w:val="0"/>
                <w:sz w:val="21"/>
                <w:szCs w:val="21"/>
                <w:lang w:val="en-US" w:eastAsia="zh-CN"/>
              </w:rPr>
              <w:t>30</w:t>
            </w:r>
            <w:r>
              <w:rPr>
                <w:rFonts w:hint="eastAsia" w:ascii="宋体" w:hAnsi="宋体" w:eastAsia="宋体" w:cs="宋体"/>
                <w:kern w:val="0"/>
                <w:sz w:val="21"/>
                <w:szCs w:val="21"/>
              </w:rPr>
              <w:t>）</w:t>
            </w:r>
          </w:p>
        </w:tc>
        <w:tc>
          <w:tcPr>
            <w:tcW w:w="5044"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满足磋商文件中要求且最后报价最低的供应商的价格为磋商基准价，其价格分为满分。其他供应商的价格分统一按照下列公式计算：</w:t>
            </w:r>
          </w:p>
          <w:p>
            <w:pPr>
              <w:spacing w:line="300" w:lineRule="exact"/>
              <w:jc w:val="left"/>
              <w:rPr>
                <w:rFonts w:hint="eastAsia" w:ascii="宋体" w:hAnsi="宋体" w:eastAsia="宋体" w:cs="宋体"/>
                <w:kern w:val="0"/>
                <w:sz w:val="21"/>
                <w:szCs w:val="21"/>
              </w:rPr>
            </w:pPr>
            <w:r>
              <w:rPr>
                <w:rFonts w:hint="eastAsia" w:ascii="宋体" w:hAnsi="宋体" w:eastAsia="宋体" w:cs="宋体"/>
                <w:kern w:val="0"/>
                <w:sz w:val="21"/>
                <w:szCs w:val="21"/>
              </w:rPr>
              <w:t>磋商报价得分=（磋商基准价/最后磋商报价）×30%×100</w:t>
            </w:r>
          </w:p>
          <w:p>
            <w:pPr>
              <w:spacing w:line="300" w:lineRule="exact"/>
              <w:jc w:val="left"/>
              <w:rPr>
                <w:rFonts w:hint="eastAsia" w:ascii="宋体" w:hAnsi="宋体" w:eastAsia="宋体" w:cs="宋体"/>
                <w:sz w:val="21"/>
                <w:szCs w:val="21"/>
                <w:shd w:val="clear" w:color="auto" w:fill="FFFFFF"/>
              </w:rPr>
            </w:pPr>
            <w:r>
              <w:rPr>
                <w:rFonts w:hint="eastAsia" w:ascii="宋体" w:hAnsi="宋体" w:eastAsia="宋体" w:cs="宋体"/>
                <w:kern w:val="0"/>
                <w:sz w:val="21"/>
                <w:szCs w:val="21"/>
              </w:rPr>
              <w:t>(计算结果保留至小数点后两位)</w:t>
            </w:r>
          </w:p>
        </w:tc>
      </w:tr>
      <w:tr>
        <w:tblPrEx>
          <w:tblCellMar>
            <w:top w:w="15" w:type="dxa"/>
            <w:left w:w="15" w:type="dxa"/>
            <w:bottom w:w="15" w:type="dxa"/>
            <w:right w:w="15" w:type="dxa"/>
          </w:tblCellMar>
        </w:tblPrEx>
        <w:trPr>
          <w:trHeight w:val="315" w:hRule="atLeast"/>
          <w:jc w:val="center"/>
        </w:trPr>
        <w:tc>
          <w:tcPr>
            <w:tcW w:w="83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eastAsia="宋体" w:cs="宋体"/>
                <w:sz w:val="21"/>
                <w:szCs w:val="21"/>
              </w:rPr>
            </w:pPr>
          </w:p>
        </w:tc>
        <w:tc>
          <w:tcPr>
            <w:tcW w:w="119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center"/>
              <w:rPr>
                <w:rFonts w:hint="eastAsia" w:ascii="宋体" w:hAnsi="宋体" w:eastAsia="宋体" w:cs="宋体"/>
                <w:kern w:val="0"/>
                <w:sz w:val="21"/>
                <w:szCs w:val="21"/>
              </w:rPr>
            </w:pPr>
            <w:r>
              <w:rPr>
                <w:rFonts w:hint="eastAsia" w:ascii="宋体" w:hAnsi="宋体" w:eastAsia="宋体" w:cs="宋体"/>
                <w:sz w:val="21"/>
                <w:szCs w:val="21"/>
              </w:rPr>
              <w:t>合计</w:t>
            </w:r>
          </w:p>
        </w:tc>
        <w:tc>
          <w:tcPr>
            <w:tcW w:w="909"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jc w:val="center"/>
              <w:textAlignment w:val="center"/>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100</w:t>
            </w:r>
          </w:p>
        </w:tc>
        <w:tc>
          <w:tcPr>
            <w:tcW w:w="50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jc w:val="left"/>
              <w:rPr>
                <w:rFonts w:hint="eastAsia" w:ascii="宋体" w:hAnsi="宋体" w:eastAsia="宋体" w:cs="宋体"/>
                <w:kern w:val="0"/>
                <w:sz w:val="21"/>
                <w:szCs w:val="21"/>
              </w:rPr>
            </w:pPr>
          </w:p>
        </w:tc>
      </w:tr>
    </w:tbl>
    <w:p>
      <w:pPr>
        <w:snapToGrid w:val="0"/>
        <w:spacing w:line="360" w:lineRule="auto"/>
        <w:ind w:firstLine="461" w:firstLineChars="218"/>
        <w:rPr>
          <w:rFonts w:hint="eastAsia" w:ascii="宋体" w:hAnsi="宋体" w:eastAsia="宋体" w:cs="宋体"/>
          <w:sz w:val="21"/>
          <w:szCs w:val="21"/>
          <w:highlight w:val="none"/>
        </w:rPr>
      </w:pPr>
    </w:p>
    <w:p>
      <w:pPr>
        <w:snapToGrid w:val="0"/>
        <w:spacing w:line="360" w:lineRule="auto"/>
        <w:ind w:firstLine="461" w:firstLineChars="218"/>
        <w:rPr>
          <w:rFonts w:hint="eastAsia" w:ascii="宋体" w:hAnsi="宋体" w:eastAsia="宋体" w:cs="宋体"/>
          <w:sz w:val="21"/>
          <w:szCs w:val="21"/>
          <w:highlight w:val="none"/>
        </w:rPr>
      </w:pPr>
    </w:p>
    <w:p>
      <w:pPr>
        <w:snapToGrid w:val="0"/>
        <w:spacing w:line="360" w:lineRule="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二十、</w:t>
      </w:r>
      <w:r>
        <w:rPr>
          <w:rFonts w:hint="eastAsia" w:ascii="宋体" w:hAnsi="宋体" w:eastAsia="宋体" w:cs="宋体"/>
          <w:b/>
          <w:sz w:val="24"/>
          <w:szCs w:val="24"/>
          <w:highlight w:val="none"/>
        </w:rPr>
        <w:t>确定成交供应商的原则</w:t>
      </w:r>
    </w:p>
    <w:p>
      <w:pPr>
        <w:snapToGrid w:val="0"/>
        <w:spacing w:line="360" w:lineRule="auto"/>
        <w:ind w:firstLine="42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将供应商的综合得分按从高到低顺序排列，排在第一位的即为成交候选供应商。得分相同时，按最后报价由低到高顺序推荐；得分相同且最后报价相同的，按技术</w:t>
      </w:r>
      <w:r>
        <w:rPr>
          <w:rFonts w:hint="eastAsia" w:ascii="宋体" w:hAnsi="宋体" w:eastAsia="宋体" w:cs="宋体"/>
          <w:sz w:val="21"/>
          <w:szCs w:val="21"/>
          <w:highlight w:val="none"/>
          <w:lang w:eastAsia="zh-CN"/>
        </w:rPr>
        <w:t>部分得分由高到低的</w:t>
      </w:r>
      <w:r>
        <w:rPr>
          <w:rFonts w:hint="eastAsia" w:ascii="宋体" w:hAnsi="宋体" w:eastAsia="宋体" w:cs="宋体"/>
          <w:sz w:val="21"/>
          <w:szCs w:val="21"/>
          <w:highlight w:val="none"/>
        </w:rPr>
        <w:t>顺序推荐</w:t>
      </w:r>
      <w:r>
        <w:rPr>
          <w:rFonts w:hint="eastAsia" w:ascii="宋体" w:hAnsi="宋体" w:eastAsia="宋体" w:cs="宋体"/>
          <w:sz w:val="21"/>
          <w:szCs w:val="21"/>
          <w:highlight w:val="none"/>
          <w:lang w:eastAsia="zh-CN"/>
        </w:rPr>
        <w:t>；技术部分得分也相同的，由采购人委托磋商小组采取随机抽取的方式确定成交供应商。</w:t>
      </w:r>
    </w:p>
    <w:p>
      <w:pPr>
        <w:snapToGrid w:val="0"/>
        <w:spacing w:line="360" w:lineRule="auto"/>
        <w:ind w:firstLine="420"/>
        <w:rPr>
          <w:rFonts w:hint="eastAsia" w:ascii="宋体" w:hAnsi="宋体" w:eastAsia="宋体" w:cs="宋体"/>
          <w:sz w:val="21"/>
          <w:szCs w:val="21"/>
          <w:highlight w:val="none"/>
        </w:rPr>
      </w:pPr>
      <w:r>
        <w:rPr>
          <w:rFonts w:hint="eastAsia" w:ascii="宋体" w:hAnsi="宋体" w:eastAsia="宋体" w:cs="宋体"/>
          <w:sz w:val="21"/>
          <w:szCs w:val="21"/>
          <w:highlight w:val="none"/>
        </w:rPr>
        <w:t>1、磋商小组依据评审方法和原则确定成交供应商。</w:t>
      </w:r>
    </w:p>
    <w:p>
      <w:pPr>
        <w:snapToGrid w:val="0"/>
        <w:spacing w:line="360" w:lineRule="auto"/>
        <w:ind w:firstLine="420"/>
        <w:rPr>
          <w:rFonts w:hint="eastAsia" w:ascii="宋体" w:hAnsi="宋体" w:eastAsia="宋体" w:cs="宋体"/>
          <w:sz w:val="21"/>
          <w:szCs w:val="21"/>
          <w:highlight w:val="none"/>
        </w:rPr>
      </w:pPr>
      <w:r>
        <w:rPr>
          <w:rFonts w:hint="eastAsia" w:ascii="宋体" w:hAnsi="宋体" w:eastAsia="宋体" w:cs="宋体"/>
          <w:sz w:val="21"/>
          <w:szCs w:val="21"/>
          <w:highlight w:val="none"/>
        </w:rPr>
        <w:t>2、如供应商对成交结果有异议，请当场以书面形式提出，由磋商小组以书面形式进行回复，其他任何形式的回复无效。</w:t>
      </w:r>
    </w:p>
    <w:p>
      <w:pPr>
        <w:snapToGrid w:val="0"/>
        <w:spacing w:line="360" w:lineRule="auto"/>
        <w:ind w:firstLine="420"/>
        <w:rPr>
          <w:rFonts w:hint="eastAsia" w:ascii="宋体" w:hAnsi="宋体" w:eastAsia="宋体" w:cs="宋体"/>
          <w:sz w:val="21"/>
          <w:szCs w:val="21"/>
          <w:highlight w:val="none"/>
        </w:rPr>
      </w:pPr>
      <w:r>
        <w:rPr>
          <w:rFonts w:hint="eastAsia" w:ascii="宋体" w:hAnsi="宋体" w:eastAsia="宋体" w:cs="宋体"/>
          <w:sz w:val="21"/>
          <w:szCs w:val="21"/>
          <w:highlight w:val="none"/>
        </w:rPr>
        <w:t>3、排名第一的成交候选人不与采购人签订合同的，采购人可以按原磋商小组提出的成交候选人名单排序依次限价顺延其他成交候选人为成交人。</w:t>
      </w:r>
    </w:p>
    <w:p>
      <w:pPr>
        <w:snapToGrid w:val="0"/>
        <w:spacing w:line="360" w:lineRule="auto"/>
        <w:ind w:firstLine="420"/>
        <w:rPr>
          <w:rFonts w:hint="eastAsia" w:ascii="宋体" w:hAnsi="宋体" w:eastAsia="宋体" w:cs="宋体"/>
          <w:sz w:val="21"/>
          <w:szCs w:val="21"/>
          <w:highlight w:val="none"/>
        </w:rPr>
      </w:pPr>
      <w:r>
        <w:rPr>
          <w:rFonts w:hint="eastAsia" w:ascii="宋体" w:hAnsi="宋体" w:eastAsia="宋体" w:cs="宋体"/>
          <w:sz w:val="21"/>
          <w:szCs w:val="21"/>
          <w:highlight w:val="none"/>
        </w:rPr>
        <w:t>4、成交公告和成交通知书</w:t>
      </w:r>
    </w:p>
    <w:p>
      <w:pPr>
        <w:snapToGrid w:val="0"/>
        <w:spacing w:line="360" w:lineRule="auto"/>
        <w:ind w:firstLine="420"/>
        <w:rPr>
          <w:rFonts w:hint="eastAsia" w:ascii="宋体" w:hAnsi="宋体" w:eastAsia="宋体" w:cs="宋体"/>
          <w:sz w:val="21"/>
          <w:szCs w:val="21"/>
          <w:highlight w:val="none"/>
        </w:rPr>
      </w:pPr>
      <w:r>
        <w:rPr>
          <w:rFonts w:hint="eastAsia" w:ascii="宋体" w:hAnsi="宋体" w:eastAsia="宋体" w:cs="宋体"/>
          <w:sz w:val="21"/>
          <w:szCs w:val="21"/>
          <w:highlight w:val="none"/>
        </w:rPr>
        <w:t>代理机构负责发布成交公告，同时向成交供应商发出《成交通知书》，《成交通知书》是《合同》的一个组成部分。</w:t>
      </w:r>
    </w:p>
    <w:p>
      <w:pPr>
        <w:snapToGrid w:val="0"/>
        <w:spacing w:line="360" w:lineRule="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二十一、合同的签订</w:t>
      </w:r>
    </w:p>
    <w:p>
      <w:pPr>
        <w:pStyle w:val="17"/>
        <w:spacing w:before="0" w:beforeAutospacing="0" w:after="0" w:afterAutospacing="0" w:line="360" w:lineRule="auto"/>
        <w:ind w:firstLine="424"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（一）成交供应商应按《成交通知书》规定的时间与采购人签订采购合同，所签订的合同不得对竞争性磋商文件和成交供应商响应文件作实质性修改；</w:t>
      </w:r>
    </w:p>
    <w:p>
      <w:pPr>
        <w:pStyle w:val="17"/>
        <w:spacing w:before="0" w:beforeAutospacing="0" w:after="0" w:afterAutospacing="0"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（二）采购人不得向成交人提出任何不合理的要求，作为签订合同的条件，不得与成交人私下订立违背合同实质性内容的协议；</w:t>
      </w:r>
    </w:p>
    <w:p>
      <w:pPr>
        <w:pStyle w:val="17"/>
        <w:spacing w:before="0" w:beforeAutospacing="0" w:after="0" w:afterAutospacing="0" w:line="360" w:lineRule="auto"/>
        <w:ind w:firstLine="424" w:firstLineChars="200"/>
        <w:rPr>
          <w:rFonts w:hint="eastAsia" w:ascii="宋体" w:hAnsi="宋体" w:eastAsia="宋体" w:cs="宋体"/>
          <w:sz w:val="21"/>
          <w:szCs w:val="21"/>
          <w:highlight w:val="none"/>
        </w:rPr>
      </w:pPr>
      <w:r>
        <w:rPr>
          <w:rFonts w:hint="eastAsia" w:ascii="宋体" w:hAnsi="宋体" w:eastAsia="宋体" w:cs="宋体"/>
          <w:sz w:val="21"/>
          <w:szCs w:val="21"/>
          <w:highlight w:val="none"/>
        </w:rPr>
        <w:t>（三）竞争性磋商文件、成交供应商响应文件及评审过程中有关澄清文件均为合同的必要组成部分，与合同具有同等法律效力；</w:t>
      </w:r>
    </w:p>
    <w:p>
      <w:pPr>
        <w:pStyle w:val="17"/>
        <w:spacing w:before="0" w:beforeAutospacing="0" w:after="0" w:afterAutospacing="0" w:line="360" w:lineRule="auto"/>
        <w:ind w:firstLine="424" w:firstLineChars="200"/>
        <w:rPr>
          <w:rFonts w:hint="eastAsia" w:ascii="宋体" w:hAnsi="宋体" w:eastAsia="宋体" w:cs="宋体"/>
          <w:sz w:val="24"/>
          <w:szCs w:val="24"/>
          <w:highlight w:val="none"/>
        </w:rPr>
      </w:pPr>
      <w:r>
        <w:rPr>
          <w:rFonts w:hint="eastAsia" w:ascii="宋体" w:hAnsi="宋体" w:eastAsia="宋体" w:cs="宋体"/>
          <w:sz w:val="21"/>
          <w:szCs w:val="21"/>
          <w:highlight w:val="none"/>
        </w:rPr>
        <w:t>（四）采购人负责合同的审核、签订、履约及验收工作，相关监管部门负责对合同签订、合同履约及验收进行监督检查</w:t>
      </w:r>
      <w:r>
        <w:rPr>
          <w:rFonts w:hint="eastAsia" w:ascii="宋体" w:hAnsi="宋体" w:eastAsia="宋体" w:cs="宋体"/>
          <w:sz w:val="24"/>
          <w:szCs w:val="24"/>
          <w:highlight w:val="none"/>
        </w:rPr>
        <w:t>。</w:t>
      </w:r>
    </w:p>
    <w:p>
      <w:pPr>
        <w:snapToGrid w:val="0"/>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rPr>
        <w:t>二十二、履约金</w:t>
      </w:r>
    </w:p>
    <w:p>
      <w:pPr>
        <w:snapToGrid w:val="0"/>
        <w:spacing w:line="360" w:lineRule="auto"/>
        <w:ind w:firstLine="530" w:firstLineChars="250"/>
        <w:rPr>
          <w:rFonts w:hint="default" w:ascii="宋体" w:hAnsi="宋体" w:eastAsia="宋体" w:cs="宋体"/>
          <w:kern w:val="0"/>
          <w:sz w:val="21"/>
          <w:szCs w:val="21"/>
          <w:highlight w:val="none"/>
          <w:lang w:val="en-US"/>
        </w:rPr>
      </w:pPr>
      <w:r>
        <w:rPr>
          <w:rFonts w:hint="eastAsia" w:ascii="宋体" w:hAnsi="宋体" w:eastAsia="宋体" w:cs="宋体"/>
          <w:kern w:val="0"/>
          <w:sz w:val="21"/>
          <w:szCs w:val="21"/>
          <w:highlight w:val="none"/>
        </w:rPr>
        <w:t>履约保证金按合同额</w:t>
      </w:r>
      <w:r>
        <w:rPr>
          <w:rFonts w:hint="eastAsia" w:ascii="宋体" w:hAnsi="宋体" w:eastAsia="宋体" w:cs="宋体"/>
          <w:color w:val="000000" w:themeColor="text1"/>
          <w:kern w:val="0"/>
          <w:sz w:val="21"/>
          <w:szCs w:val="21"/>
          <w:highlight w:val="none"/>
          <w:lang w:val="en-US" w:eastAsia="zh-CN"/>
          <w14:textFill>
            <w14:solidFill>
              <w14:schemeClr w14:val="tx1"/>
            </w14:solidFill>
          </w14:textFill>
        </w:rPr>
        <w:t>5</w:t>
      </w:r>
      <w:r>
        <w:rPr>
          <w:rFonts w:hint="eastAsia" w:ascii="宋体" w:hAnsi="宋体" w:eastAsia="宋体" w:cs="宋体"/>
          <w:color w:val="000000" w:themeColor="text1"/>
          <w:kern w:val="0"/>
          <w:sz w:val="21"/>
          <w:szCs w:val="21"/>
          <w:highlight w:val="none"/>
          <w14:textFill>
            <w14:solidFill>
              <w14:schemeClr w14:val="tx1"/>
            </w14:solidFill>
          </w14:textFill>
        </w:rPr>
        <w:t>%</w:t>
      </w:r>
      <w:r>
        <w:rPr>
          <w:rFonts w:hint="eastAsia" w:ascii="宋体" w:hAnsi="宋体" w:eastAsia="宋体" w:cs="宋体"/>
          <w:kern w:val="0"/>
          <w:sz w:val="21"/>
          <w:szCs w:val="21"/>
          <w:highlight w:val="none"/>
        </w:rPr>
        <w:t>缴纳，协议合同前汇入甲方指定账户，货物验收合格且发放完毕后5个工作日内甲方无息返还乙方</w:t>
      </w:r>
      <w:r>
        <w:rPr>
          <w:rFonts w:hint="default" w:ascii="宋体" w:hAnsi="宋体" w:eastAsia="宋体" w:cs="宋体"/>
          <w:kern w:val="0"/>
          <w:sz w:val="21"/>
          <w:szCs w:val="21"/>
          <w:highlight w:val="none"/>
          <w:lang w:val="en-US"/>
        </w:rPr>
        <w:t>.</w:t>
      </w:r>
    </w:p>
    <w:p>
      <w:pPr>
        <w:snapToGrid w:val="0"/>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rPr>
        <w:t>二十三、资金结算</w:t>
      </w:r>
    </w:p>
    <w:p>
      <w:pPr>
        <w:snapToGrid w:val="0"/>
        <w:spacing w:line="360" w:lineRule="auto"/>
        <w:ind w:firstLine="212" w:firstLineChars="100"/>
        <w:rPr>
          <w:rFonts w:ascii="宋体" w:hAnsi="宋体" w:eastAsia="宋体" w:cs="宋体"/>
          <w:bCs/>
          <w:szCs w:val="21"/>
        </w:rPr>
      </w:pPr>
      <w:r>
        <w:rPr>
          <w:rFonts w:hint="eastAsia" w:ascii="宋体" w:hAnsi="宋体" w:eastAsia="宋体" w:cs="宋体"/>
          <w:bCs/>
          <w:szCs w:val="21"/>
        </w:rPr>
        <w:t>合同签订后首付款不低于合同总价款的30%，货到现场安装调试验收合格后付款合同额的**%，留合同额的**%作为质保金，预留**个月。</w:t>
      </w:r>
    </w:p>
    <w:p>
      <w:pPr>
        <w:spacing w:line="240" w:lineRule="atLeast"/>
        <w:ind w:firstLine="424" w:firstLineChars="200"/>
        <w:rPr>
          <w:rFonts w:hint="eastAsia" w:ascii="宋体" w:hAnsi="宋体" w:eastAsia="宋体" w:cs="宋体"/>
          <w:b w:val="0"/>
          <w:bCs/>
          <w:kern w:val="0"/>
          <w:sz w:val="21"/>
          <w:szCs w:val="21"/>
          <w:highlight w:val="none"/>
        </w:rPr>
      </w:pPr>
    </w:p>
    <w:p>
      <w:pPr>
        <w:snapToGrid w:val="0"/>
        <w:spacing w:line="360" w:lineRule="auto"/>
        <w:ind w:firstLine="887" w:firstLineChars="419"/>
        <w:rPr>
          <w:rFonts w:hint="eastAsia" w:ascii="宋体" w:hAnsi="宋体" w:eastAsia="宋体" w:cs="宋体"/>
          <w:sz w:val="21"/>
          <w:szCs w:val="21"/>
          <w:highlight w:val="yellow"/>
        </w:rPr>
      </w:pPr>
    </w:p>
    <w:p>
      <w:pPr>
        <w:snapToGrid w:val="0"/>
        <w:spacing w:line="360" w:lineRule="auto"/>
        <w:jc w:val="center"/>
        <w:outlineLvl w:val="0"/>
        <w:rPr>
          <w:rFonts w:hint="eastAsia" w:ascii="宋体" w:hAnsi="宋体" w:eastAsia="宋体" w:cs="宋体"/>
          <w:sz w:val="21"/>
          <w:szCs w:val="21"/>
          <w:highlight w:val="none"/>
        </w:rPr>
      </w:pPr>
      <w:r>
        <w:rPr>
          <w:rFonts w:hint="eastAsia" w:ascii="宋体" w:hAnsi="宋体" w:eastAsia="宋体" w:cs="宋体"/>
          <w:sz w:val="21"/>
          <w:szCs w:val="21"/>
          <w:highlight w:val="none"/>
        </w:rPr>
        <w:br w:type="page"/>
      </w:r>
      <w:bookmarkStart w:id="57" w:name="_Toc26551"/>
    </w:p>
    <w:p>
      <w:pPr>
        <w:snapToGrid w:val="0"/>
        <w:spacing w:line="360" w:lineRule="auto"/>
        <w:jc w:val="center"/>
        <w:outlineLvl w:val="0"/>
        <w:rPr>
          <w:rFonts w:hint="eastAsia" w:ascii="宋体" w:hAnsi="宋体" w:eastAsia="宋体" w:cs="宋体"/>
          <w:sz w:val="21"/>
          <w:szCs w:val="21"/>
          <w:highlight w:val="none"/>
        </w:rPr>
      </w:pPr>
    </w:p>
    <w:p>
      <w:pPr>
        <w:snapToGrid w:val="0"/>
        <w:spacing w:line="360" w:lineRule="auto"/>
        <w:jc w:val="center"/>
        <w:outlineLvl w:val="0"/>
        <w:rPr>
          <w:rFonts w:hint="eastAsia" w:ascii="黑体" w:hAnsi="黑体" w:eastAsia="黑体" w:cs="黑体"/>
          <w:b/>
          <w:bCs/>
          <w:sz w:val="36"/>
          <w:szCs w:val="36"/>
          <w:highlight w:val="none"/>
        </w:rPr>
      </w:pPr>
      <w:r>
        <w:rPr>
          <w:rFonts w:hint="eastAsia" w:ascii="黑体" w:hAnsi="黑体" w:eastAsia="黑体" w:cs="黑体"/>
          <w:b/>
          <w:bCs/>
          <w:sz w:val="36"/>
          <w:szCs w:val="36"/>
          <w:highlight w:val="none"/>
        </w:rPr>
        <w:t>第三部分  货物清单及技术参数或服务要求</w:t>
      </w:r>
      <w:bookmarkEnd w:id="57"/>
    </w:p>
    <w:tbl>
      <w:tblPr>
        <w:tblStyle w:val="19"/>
        <w:tblW w:w="93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857"/>
        <w:gridCol w:w="6593"/>
        <w:gridCol w:w="645"/>
        <w:gridCol w:w="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trPr>
        <w:tc>
          <w:tcPr>
            <w:tcW w:w="592"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序号</w:t>
            </w:r>
          </w:p>
        </w:tc>
        <w:tc>
          <w:tcPr>
            <w:tcW w:w="857"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货物</w:t>
            </w:r>
          </w:p>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名称</w:t>
            </w:r>
          </w:p>
        </w:tc>
        <w:tc>
          <w:tcPr>
            <w:tcW w:w="6593" w:type="dxa"/>
            <w:vAlign w:val="center"/>
          </w:tcPr>
          <w:p>
            <w:pPr>
              <w:spacing w:line="240" w:lineRule="atLeast"/>
              <w:ind w:firstLine="424" w:firstLineChars="200"/>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技术要求</w:t>
            </w:r>
          </w:p>
        </w:tc>
        <w:tc>
          <w:tcPr>
            <w:tcW w:w="645" w:type="dxa"/>
            <w:vAlign w:val="center"/>
          </w:tcPr>
          <w:p>
            <w:pPr>
              <w:spacing w:line="240" w:lineRule="atLeast"/>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数量</w:t>
            </w:r>
          </w:p>
        </w:tc>
        <w:tc>
          <w:tcPr>
            <w:tcW w:w="660" w:type="dxa"/>
            <w:vAlign w:val="center"/>
          </w:tcPr>
          <w:p>
            <w:pPr>
              <w:spacing w:line="240" w:lineRule="atLeast"/>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592"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1</w:t>
            </w:r>
          </w:p>
        </w:tc>
        <w:tc>
          <w:tcPr>
            <w:tcW w:w="857"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移动式足球门</w:t>
            </w:r>
          </w:p>
        </w:tc>
        <w:tc>
          <w:tcPr>
            <w:tcW w:w="6593" w:type="dxa"/>
            <w:vAlign w:val="center"/>
          </w:tcPr>
          <w:p>
            <w:pPr>
              <w:spacing w:line="240" w:lineRule="atLeast"/>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lang w:val="en-US" w:eastAsia="zh-CN"/>
              </w:rPr>
              <w:t>▲</w:t>
            </w:r>
            <w:r>
              <w:rPr>
                <w:rFonts w:hint="eastAsia" w:ascii="宋体" w:hAnsi="宋体" w:eastAsia="宋体" w:cs="宋体"/>
                <w:b w:val="0"/>
                <w:bCs/>
                <w:kern w:val="0"/>
                <w:sz w:val="21"/>
                <w:szCs w:val="21"/>
                <w:highlight w:val="none"/>
              </w:rPr>
              <w:t>1、球门内径规格：长×高×深=7320×2440×2650（㎜）</w:t>
            </w:r>
            <w:r>
              <w:rPr>
                <w:rFonts w:hint="eastAsia" w:ascii="宋体" w:hAnsi="宋体" w:eastAsia="宋体" w:cs="宋体"/>
                <w:b w:val="0"/>
                <w:bCs/>
                <w:kern w:val="0"/>
                <w:sz w:val="21"/>
                <w:szCs w:val="21"/>
                <w:highlight w:val="none"/>
              </w:rPr>
              <w:br w:type="textWrapping"/>
            </w:r>
            <w:r>
              <w:rPr>
                <w:rFonts w:hint="eastAsia" w:ascii="宋体" w:hAnsi="宋体" w:eastAsia="宋体" w:cs="宋体"/>
                <w:b w:val="0"/>
                <w:bCs/>
                <w:kern w:val="0"/>
                <w:sz w:val="21"/>
                <w:szCs w:val="21"/>
                <w:highlight w:val="none"/>
              </w:rPr>
              <w:t>2、足球门由立杆、横梁、两侧撑杆、两侧横杆和后侧横杆组成。</w:t>
            </w:r>
            <w:r>
              <w:rPr>
                <w:rFonts w:hint="eastAsia" w:ascii="宋体" w:hAnsi="宋体" w:eastAsia="宋体" w:cs="宋体"/>
                <w:b w:val="0"/>
                <w:bCs/>
                <w:kern w:val="0"/>
                <w:sz w:val="21"/>
                <w:szCs w:val="21"/>
                <w:highlight w:val="none"/>
              </w:rPr>
              <w:br w:type="textWrapping"/>
            </w:r>
            <w:r>
              <w:rPr>
                <w:rFonts w:hint="eastAsia" w:ascii="宋体" w:hAnsi="宋体" w:eastAsia="宋体" w:cs="宋体"/>
                <w:b w:val="0"/>
                <w:bCs/>
                <w:kern w:val="0"/>
                <w:sz w:val="21"/>
                <w:szCs w:val="21"/>
                <w:highlight w:val="none"/>
              </w:rPr>
              <w:t>3、球门立杆和横梁均采用不低于φ120×4（㎜）优质钢管制成，上设网勾，置网方便，球网系线柱两侧撑杆采用不低于φ48×2.75（㎜）的钢管制成，两侧横杆和后侧横杆均采用不低于□100×40×3方管制作。</w:t>
            </w:r>
            <w:r>
              <w:rPr>
                <w:rFonts w:hint="eastAsia" w:ascii="宋体" w:hAnsi="宋体" w:eastAsia="宋体" w:cs="宋体"/>
                <w:b w:val="0"/>
                <w:bCs/>
                <w:kern w:val="0"/>
                <w:sz w:val="21"/>
                <w:szCs w:val="21"/>
                <w:highlight w:val="none"/>
              </w:rPr>
              <w:br w:type="textWrapping"/>
            </w:r>
            <w:r>
              <w:rPr>
                <w:rFonts w:hint="eastAsia" w:ascii="宋体" w:hAnsi="宋体" w:eastAsia="宋体" w:cs="宋体"/>
                <w:b w:val="0"/>
                <w:bCs/>
                <w:kern w:val="0"/>
                <w:sz w:val="21"/>
                <w:szCs w:val="21"/>
                <w:highlight w:val="none"/>
              </w:rPr>
              <w:t>4、产品涂层厚度70-80um，铅笔硬度达3H+或以上。产品具有耐酸碱、耐湿热、抗老化等优点</w:t>
            </w:r>
          </w:p>
        </w:tc>
        <w:tc>
          <w:tcPr>
            <w:tcW w:w="645"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5</w:t>
            </w:r>
          </w:p>
        </w:tc>
        <w:tc>
          <w:tcPr>
            <w:tcW w:w="660"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592"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2</w:t>
            </w:r>
          </w:p>
        </w:tc>
        <w:tc>
          <w:tcPr>
            <w:tcW w:w="857"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主客队替补席</w:t>
            </w:r>
          </w:p>
        </w:tc>
        <w:tc>
          <w:tcPr>
            <w:tcW w:w="6593" w:type="dxa"/>
            <w:vAlign w:val="center"/>
          </w:tcPr>
          <w:p>
            <w:pPr>
              <w:spacing w:line="240" w:lineRule="atLeast"/>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1、足球防护棚（6座）规格：长×宽×高≥3520×1400×1900（㎜）。</w:t>
            </w:r>
            <w:r>
              <w:rPr>
                <w:rFonts w:hint="eastAsia" w:ascii="宋体" w:hAnsi="宋体" w:eastAsia="宋体" w:cs="宋体"/>
                <w:b w:val="0"/>
                <w:bCs/>
                <w:kern w:val="0"/>
                <w:sz w:val="21"/>
                <w:szCs w:val="21"/>
                <w:highlight w:val="none"/>
              </w:rPr>
              <w:br w:type="textWrapping"/>
            </w:r>
            <w:r>
              <w:rPr>
                <w:rFonts w:hint="eastAsia" w:ascii="宋体" w:hAnsi="宋体" w:eastAsia="宋体" w:cs="宋体"/>
                <w:b w:val="0"/>
                <w:bCs/>
                <w:kern w:val="0"/>
                <w:sz w:val="21"/>
                <w:szCs w:val="21"/>
                <w:highlight w:val="none"/>
              </w:rPr>
              <w:t>2、防护棚框底框主要采用不低于□75×75×4（㎜）铝管和不低于□50×50×3（㎜）角铝拼焊而成，门框由不低于□80×60×3（㎜）铝型材拼焊而成，顶框由不低于口40×40×2（㎜）铝管拼焊而成，通过螺栓将底框与门框、顶框连接，顶框上覆透明耐击板。</w:t>
            </w:r>
            <w:r>
              <w:rPr>
                <w:rFonts w:hint="eastAsia" w:ascii="宋体" w:hAnsi="宋体" w:eastAsia="宋体" w:cs="宋体"/>
                <w:b w:val="0"/>
                <w:bCs/>
                <w:kern w:val="0"/>
                <w:sz w:val="21"/>
                <w:szCs w:val="21"/>
                <w:highlight w:val="none"/>
              </w:rPr>
              <w:br w:type="textWrapping"/>
            </w:r>
            <w:r>
              <w:rPr>
                <w:rFonts w:hint="eastAsia" w:ascii="宋体" w:hAnsi="宋体" w:eastAsia="宋体" w:cs="宋体"/>
                <w:b w:val="0"/>
                <w:bCs/>
                <w:kern w:val="0"/>
                <w:sz w:val="21"/>
                <w:szCs w:val="21"/>
                <w:highlight w:val="none"/>
              </w:rPr>
              <w:t>3、防护棚座椅选用豪华软包椅，框架采用厚度为不低于2.0mm钢管拼焊而成,再注入耐用的泡沫材料，最后使用真皮高强度外罩包裹，并具有防震功能。</w:t>
            </w:r>
            <w:r>
              <w:rPr>
                <w:rFonts w:hint="eastAsia" w:ascii="宋体" w:hAnsi="宋体" w:eastAsia="宋体" w:cs="宋体"/>
                <w:b w:val="0"/>
                <w:bCs/>
                <w:kern w:val="0"/>
                <w:sz w:val="21"/>
                <w:szCs w:val="21"/>
                <w:highlight w:val="none"/>
              </w:rPr>
              <w:br w:type="textWrapping"/>
            </w:r>
            <w:r>
              <w:rPr>
                <w:rFonts w:hint="eastAsia" w:ascii="宋体" w:hAnsi="宋体" w:eastAsia="宋体" w:cs="宋体"/>
                <w:b w:val="0"/>
                <w:bCs/>
                <w:kern w:val="0"/>
                <w:sz w:val="21"/>
                <w:szCs w:val="21"/>
                <w:highlight w:val="none"/>
              </w:rPr>
              <w:t>4、产品涂层厚度70-80um，铅笔硬度达3H+或以上。产品具有耐酸碱、耐湿热、抗老化等优点</w:t>
            </w:r>
          </w:p>
        </w:tc>
        <w:tc>
          <w:tcPr>
            <w:tcW w:w="645"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5</w:t>
            </w:r>
          </w:p>
        </w:tc>
        <w:tc>
          <w:tcPr>
            <w:tcW w:w="660"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组（6座）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592"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3</w:t>
            </w:r>
          </w:p>
        </w:tc>
        <w:tc>
          <w:tcPr>
            <w:tcW w:w="857"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角旗</w:t>
            </w:r>
          </w:p>
        </w:tc>
        <w:tc>
          <w:tcPr>
            <w:tcW w:w="6593" w:type="dxa"/>
            <w:vAlign w:val="center"/>
          </w:tcPr>
          <w:p>
            <w:pPr>
              <w:spacing w:line="240" w:lineRule="atLeast"/>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1、角旗旗杆采用不低于￠31.5×2（㎜）玻璃钢圆管制成</w:t>
            </w:r>
            <w:r>
              <w:rPr>
                <w:rFonts w:hint="eastAsia" w:ascii="宋体" w:hAnsi="宋体" w:eastAsia="宋体" w:cs="宋体"/>
                <w:b w:val="0"/>
                <w:bCs/>
                <w:kern w:val="0"/>
                <w:sz w:val="21"/>
                <w:szCs w:val="21"/>
                <w:highlight w:val="none"/>
              </w:rPr>
              <w:br w:type="textWrapping"/>
            </w:r>
            <w:r>
              <w:rPr>
                <w:rFonts w:hint="eastAsia" w:ascii="宋体" w:hAnsi="宋体" w:eastAsia="宋体" w:cs="宋体"/>
                <w:b w:val="0"/>
                <w:bCs/>
                <w:kern w:val="0"/>
                <w:sz w:val="21"/>
                <w:szCs w:val="21"/>
                <w:highlight w:val="none"/>
              </w:rPr>
              <w:t>2、角旗旗面规格：长×宽=500×400（㎜），采用黄色旗布</w:t>
            </w:r>
            <w:r>
              <w:rPr>
                <w:rFonts w:hint="eastAsia" w:ascii="宋体" w:hAnsi="宋体" w:eastAsia="宋体" w:cs="宋体"/>
                <w:b w:val="0"/>
                <w:bCs/>
                <w:kern w:val="0"/>
                <w:sz w:val="21"/>
                <w:szCs w:val="21"/>
                <w:highlight w:val="none"/>
              </w:rPr>
              <w:br w:type="textWrapping"/>
            </w:r>
            <w:r>
              <w:rPr>
                <w:rFonts w:hint="eastAsia" w:ascii="宋体" w:hAnsi="宋体" w:eastAsia="宋体" w:cs="宋体"/>
                <w:b w:val="0"/>
                <w:bCs/>
                <w:kern w:val="0"/>
                <w:sz w:val="21"/>
                <w:szCs w:val="21"/>
                <w:highlight w:val="none"/>
              </w:rPr>
              <w:t>3、角旗预埋件采用不低于φ32×2（㎜）圆管制作</w:t>
            </w:r>
          </w:p>
        </w:tc>
        <w:tc>
          <w:tcPr>
            <w:tcW w:w="645"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20</w:t>
            </w:r>
          </w:p>
        </w:tc>
        <w:tc>
          <w:tcPr>
            <w:tcW w:w="660"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592"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4</w:t>
            </w:r>
          </w:p>
        </w:tc>
        <w:tc>
          <w:tcPr>
            <w:tcW w:w="857"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换人牌</w:t>
            </w:r>
          </w:p>
        </w:tc>
        <w:tc>
          <w:tcPr>
            <w:tcW w:w="6593" w:type="dxa"/>
            <w:vAlign w:val="center"/>
          </w:tcPr>
          <w:p>
            <w:pPr>
              <w:spacing w:line="240" w:lineRule="atLeast"/>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1、点阵发光管经过严格分光分色；</w:t>
            </w:r>
            <w:r>
              <w:rPr>
                <w:rFonts w:hint="eastAsia" w:ascii="宋体" w:hAnsi="宋体" w:eastAsia="宋体" w:cs="宋体"/>
                <w:b w:val="0"/>
                <w:bCs/>
                <w:kern w:val="0"/>
                <w:sz w:val="21"/>
                <w:szCs w:val="21"/>
                <w:highlight w:val="none"/>
              </w:rPr>
              <w:br w:type="textWrapping"/>
            </w:r>
            <w:r>
              <w:rPr>
                <w:rFonts w:hint="eastAsia" w:ascii="宋体" w:hAnsi="宋体" w:eastAsia="宋体" w:cs="宋体"/>
                <w:b w:val="0"/>
                <w:bCs/>
                <w:kern w:val="0"/>
                <w:sz w:val="21"/>
                <w:szCs w:val="21"/>
                <w:highlight w:val="none"/>
              </w:rPr>
              <w:t>2、线路板采用大规模集成电路，以确保换人牌的可靠性，集成电路芯片采用MOTOROLA，PHILIPS，ST等国际知名公司芯片；</w:t>
            </w:r>
            <w:r>
              <w:rPr>
                <w:rFonts w:hint="eastAsia" w:ascii="宋体" w:hAnsi="宋体" w:eastAsia="宋体" w:cs="宋体"/>
                <w:b w:val="0"/>
                <w:bCs/>
                <w:kern w:val="0"/>
                <w:sz w:val="21"/>
                <w:szCs w:val="21"/>
                <w:highlight w:val="none"/>
              </w:rPr>
              <w:br w:type="textWrapping"/>
            </w:r>
            <w:r>
              <w:rPr>
                <w:rFonts w:hint="eastAsia" w:ascii="宋体" w:hAnsi="宋体" w:eastAsia="宋体" w:cs="宋体"/>
                <w:b w:val="0"/>
                <w:bCs/>
                <w:kern w:val="0"/>
                <w:sz w:val="21"/>
                <w:szCs w:val="21"/>
                <w:highlight w:val="none"/>
              </w:rPr>
              <w:t>3、元器件采用波峰焊或SMT表面焊，焊点牢固可靠；</w:t>
            </w:r>
            <w:r>
              <w:rPr>
                <w:rFonts w:hint="eastAsia" w:ascii="宋体" w:hAnsi="宋体" w:eastAsia="宋体" w:cs="宋体"/>
                <w:b w:val="0"/>
                <w:bCs/>
                <w:kern w:val="0"/>
                <w:sz w:val="21"/>
                <w:szCs w:val="21"/>
                <w:highlight w:val="none"/>
              </w:rPr>
              <w:br w:type="textWrapping"/>
            </w:r>
            <w:r>
              <w:rPr>
                <w:rFonts w:hint="eastAsia" w:ascii="宋体" w:hAnsi="宋体" w:eastAsia="宋体" w:cs="宋体"/>
                <w:b w:val="0"/>
                <w:bCs/>
                <w:kern w:val="0"/>
                <w:sz w:val="21"/>
                <w:szCs w:val="21"/>
                <w:highlight w:val="none"/>
              </w:rPr>
              <w:t>4、结构采用单元件标准设计，便于安装维护；</w:t>
            </w:r>
            <w:r>
              <w:rPr>
                <w:rFonts w:hint="eastAsia" w:ascii="宋体" w:hAnsi="宋体" w:eastAsia="宋体" w:cs="宋体"/>
                <w:b w:val="0"/>
                <w:bCs/>
                <w:kern w:val="0"/>
                <w:sz w:val="21"/>
                <w:szCs w:val="21"/>
                <w:highlight w:val="none"/>
              </w:rPr>
              <w:br w:type="textWrapping"/>
            </w:r>
            <w:r>
              <w:rPr>
                <w:rFonts w:hint="eastAsia" w:ascii="宋体" w:hAnsi="宋体" w:eastAsia="宋体" w:cs="宋体"/>
                <w:b w:val="0"/>
                <w:bCs/>
                <w:kern w:val="0"/>
                <w:sz w:val="21"/>
                <w:szCs w:val="21"/>
                <w:highlight w:val="none"/>
              </w:rPr>
              <w:t>5、结构尺寸：712×313×50mm；</w:t>
            </w:r>
            <w:r>
              <w:rPr>
                <w:rFonts w:hint="eastAsia" w:ascii="宋体" w:hAnsi="宋体" w:eastAsia="宋体" w:cs="宋体"/>
                <w:b w:val="0"/>
                <w:bCs/>
                <w:kern w:val="0"/>
                <w:sz w:val="21"/>
                <w:szCs w:val="21"/>
                <w:highlight w:val="none"/>
              </w:rPr>
              <w:br w:type="textWrapping"/>
            </w:r>
            <w:r>
              <w:rPr>
                <w:rFonts w:hint="eastAsia" w:ascii="宋体" w:hAnsi="宋体" w:eastAsia="宋体" w:cs="宋体"/>
                <w:b w:val="0"/>
                <w:bCs/>
                <w:kern w:val="0"/>
                <w:sz w:val="21"/>
                <w:szCs w:val="21"/>
                <w:highlight w:val="none"/>
              </w:rPr>
              <w:t>6、采用Φ5红、绿高亮度发光管，点间距10mm；</w:t>
            </w:r>
            <w:r>
              <w:rPr>
                <w:rFonts w:hint="eastAsia" w:ascii="宋体" w:hAnsi="宋体" w:eastAsia="宋体" w:cs="宋体"/>
                <w:b w:val="0"/>
                <w:bCs/>
                <w:kern w:val="0"/>
                <w:sz w:val="21"/>
                <w:szCs w:val="21"/>
                <w:highlight w:val="none"/>
              </w:rPr>
              <w:br w:type="textWrapping"/>
            </w:r>
            <w:r>
              <w:rPr>
                <w:rFonts w:hint="eastAsia" w:ascii="宋体" w:hAnsi="宋体" w:eastAsia="宋体" w:cs="宋体"/>
                <w:b w:val="0"/>
                <w:bCs/>
                <w:kern w:val="0"/>
                <w:sz w:val="21"/>
                <w:szCs w:val="21"/>
                <w:highlight w:val="none"/>
              </w:rPr>
              <w:t>7、使用电源为品牌5号电池，16节；</w:t>
            </w:r>
            <w:r>
              <w:rPr>
                <w:rFonts w:hint="eastAsia" w:ascii="宋体" w:hAnsi="宋体" w:eastAsia="宋体" w:cs="宋体"/>
                <w:b w:val="0"/>
                <w:bCs/>
                <w:kern w:val="0"/>
                <w:sz w:val="21"/>
                <w:szCs w:val="21"/>
                <w:highlight w:val="none"/>
              </w:rPr>
              <w:br w:type="textWrapping"/>
            </w:r>
            <w:r>
              <w:rPr>
                <w:rFonts w:hint="eastAsia" w:ascii="宋体" w:hAnsi="宋体" w:eastAsia="宋体" w:cs="宋体"/>
                <w:b w:val="0"/>
                <w:bCs/>
                <w:kern w:val="0"/>
                <w:sz w:val="21"/>
                <w:szCs w:val="21"/>
                <w:highlight w:val="none"/>
              </w:rPr>
              <w:t>8、可视角度：≥150°；</w:t>
            </w:r>
            <w:r>
              <w:rPr>
                <w:rFonts w:hint="eastAsia" w:ascii="宋体" w:hAnsi="宋体" w:eastAsia="宋体" w:cs="宋体"/>
                <w:b w:val="0"/>
                <w:bCs/>
                <w:kern w:val="0"/>
                <w:sz w:val="21"/>
                <w:szCs w:val="21"/>
                <w:highlight w:val="none"/>
              </w:rPr>
              <w:br w:type="textWrapping"/>
            </w:r>
            <w:r>
              <w:rPr>
                <w:rFonts w:hint="eastAsia" w:ascii="宋体" w:hAnsi="宋体" w:eastAsia="宋体" w:cs="宋体"/>
                <w:b w:val="0"/>
                <w:bCs/>
                <w:kern w:val="0"/>
                <w:sz w:val="21"/>
                <w:szCs w:val="21"/>
                <w:highlight w:val="none"/>
              </w:rPr>
              <w:t>9、重量：≥3.9㎏；</w:t>
            </w:r>
            <w:r>
              <w:rPr>
                <w:rFonts w:hint="eastAsia" w:ascii="宋体" w:hAnsi="宋体" w:eastAsia="宋体" w:cs="宋体"/>
                <w:b w:val="0"/>
                <w:bCs/>
                <w:kern w:val="0"/>
                <w:sz w:val="21"/>
                <w:szCs w:val="21"/>
                <w:highlight w:val="none"/>
              </w:rPr>
              <w:br w:type="textWrapping"/>
            </w:r>
            <w:r>
              <w:rPr>
                <w:rFonts w:hint="eastAsia" w:ascii="宋体" w:hAnsi="宋体" w:eastAsia="宋体" w:cs="宋体"/>
                <w:b w:val="0"/>
                <w:bCs/>
                <w:kern w:val="0"/>
                <w:sz w:val="21"/>
                <w:szCs w:val="21"/>
                <w:highlight w:val="none"/>
                <w:lang w:val="en-US" w:eastAsia="zh-CN"/>
              </w:rPr>
              <w:t>▲</w:t>
            </w:r>
            <w:r>
              <w:rPr>
                <w:rFonts w:hint="eastAsia" w:ascii="宋体" w:hAnsi="宋体" w:eastAsia="宋体" w:cs="宋体"/>
                <w:b w:val="0"/>
                <w:bCs/>
                <w:kern w:val="0"/>
                <w:sz w:val="21"/>
                <w:szCs w:val="21"/>
                <w:highlight w:val="none"/>
              </w:rPr>
              <w:t>10、使用寿命：＞3万小时；</w:t>
            </w:r>
          </w:p>
        </w:tc>
        <w:tc>
          <w:tcPr>
            <w:tcW w:w="645"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5</w:t>
            </w:r>
          </w:p>
        </w:tc>
        <w:tc>
          <w:tcPr>
            <w:tcW w:w="660"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trPr>
        <w:tc>
          <w:tcPr>
            <w:tcW w:w="592"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5</w:t>
            </w:r>
          </w:p>
        </w:tc>
        <w:tc>
          <w:tcPr>
            <w:tcW w:w="857"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七人制足球门（移动式）</w:t>
            </w:r>
          </w:p>
        </w:tc>
        <w:tc>
          <w:tcPr>
            <w:tcW w:w="6593" w:type="dxa"/>
            <w:vAlign w:val="center"/>
          </w:tcPr>
          <w:p>
            <w:pPr>
              <w:spacing w:line="240" w:lineRule="atLeast"/>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lang w:val="en-US" w:eastAsia="zh-CN"/>
              </w:rPr>
              <w:t>▲</w:t>
            </w:r>
            <w:r>
              <w:rPr>
                <w:rFonts w:hint="eastAsia" w:ascii="宋体" w:hAnsi="宋体" w:eastAsia="宋体" w:cs="宋体"/>
                <w:b w:val="0"/>
                <w:bCs/>
                <w:kern w:val="0"/>
                <w:sz w:val="21"/>
                <w:szCs w:val="21"/>
                <w:highlight w:val="none"/>
              </w:rPr>
              <w:t>1、球门内净基本尺寸：长×高=5000×2000（㎜）</w:t>
            </w:r>
            <w:r>
              <w:rPr>
                <w:rFonts w:hint="eastAsia" w:ascii="宋体" w:hAnsi="宋体" w:eastAsia="宋体" w:cs="宋体"/>
                <w:b w:val="0"/>
                <w:bCs/>
                <w:kern w:val="0"/>
                <w:sz w:val="21"/>
                <w:szCs w:val="21"/>
                <w:highlight w:val="none"/>
              </w:rPr>
              <w:br w:type="page"/>
            </w:r>
            <w:r>
              <w:rPr>
                <w:rFonts w:hint="eastAsia" w:ascii="宋体" w:hAnsi="宋体" w:eastAsia="宋体" w:cs="宋体"/>
                <w:b w:val="0"/>
                <w:bCs/>
                <w:kern w:val="0"/>
                <w:sz w:val="21"/>
                <w:szCs w:val="21"/>
                <w:highlight w:val="none"/>
              </w:rPr>
              <w:t>；</w:t>
            </w:r>
          </w:p>
          <w:p>
            <w:pPr>
              <w:spacing w:line="240" w:lineRule="atLeast"/>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2、球门立杆和横梁均采用不低于φ89×2.75（㎜）优质钢管制成，上设网勾，置网方便，球网系线柱两侧撑杆采用不低于φ32×2（㎜）的钢管制成，两侧横杆和后侧横杆均采用不低于□80×40×2.5（㎜）方管制作。</w:t>
            </w:r>
            <w:r>
              <w:rPr>
                <w:rFonts w:hint="eastAsia" w:ascii="宋体" w:hAnsi="宋体" w:eastAsia="宋体" w:cs="宋体"/>
                <w:b w:val="0"/>
                <w:bCs/>
                <w:kern w:val="0"/>
                <w:sz w:val="21"/>
                <w:szCs w:val="21"/>
                <w:highlight w:val="none"/>
              </w:rPr>
              <w:br w:type="page"/>
            </w:r>
          </w:p>
          <w:p>
            <w:pPr>
              <w:spacing w:line="240" w:lineRule="atLeast"/>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3、产品涂层厚度70-80um，铅笔硬度达3H+或以上。产品具有耐酸碱、耐湿热、抗老化等优点</w:t>
            </w:r>
          </w:p>
        </w:tc>
        <w:tc>
          <w:tcPr>
            <w:tcW w:w="645"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10</w:t>
            </w:r>
          </w:p>
        </w:tc>
        <w:tc>
          <w:tcPr>
            <w:tcW w:w="660"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592"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6</w:t>
            </w:r>
          </w:p>
        </w:tc>
        <w:tc>
          <w:tcPr>
            <w:tcW w:w="857"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技术官员坐席</w:t>
            </w:r>
          </w:p>
        </w:tc>
        <w:tc>
          <w:tcPr>
            <w:tcW w:w="6593" w:type="dxa"/>
            <w:vAlign w:val="center"/>
          </w:tcPr>
          <w:p>
            <w:pPr>
              <w:spacing w:line="240" w:lineRule="atLeast"/>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1、足球防护棚（4座）规格：长×宽×高≥2250×1300×2050（㎜）。</w:t>
            </w:r>
            <w:r>
              <w:rPr>
                <w:rFonts w:hint="eastAsia" w:ascii="宋体" w:hAnsi="宋体" w:eastAsia="宋体" w:cs="宋体"/>
                <w:b w:val="0"/>
                <w:bCs/>
                <w:kern w:val="0"/>
                <w:sz w:val="21"/>
                <w:szCs w:val="21"/>
                <w:highlight w:val="none"/>
              </w:rPr>
              <w:br w:type="textWrapping"/>
            </w:r>
            <w:r>
              <w:rPr>
                <w:rFonts w:hint="eastAsia" w:ascii="宋体" w:hAnsi="宋体" w:eastAsia="宋体" w:cs="宋体"/>
                <w:b w:val="0"/>
                <w:bCs/>
                <w:kern w:val="0"/>
                <w:sz w:val="21"/>
                <w:szCs w:val="21"/>
                <w:highlight w:val="none"/>
              </w:rPr>
              <w:t>2、防护棚框架主要采用不低于□60×40×2.75（㎜）、不低于□50×40×2.5（㎜）焊方管、不低于□40×40×2（㎜）铝管拼焊而成，上覆透明耐击板</w:t>
            </w:r>
            <w:r>
              <w:rPr>
                <w:rFonts w:hint="eastAsia" w:ascii="宋体" w:hAnsi="宋体" w:eastAsia="宋体" w:cs="宋体"/>
                <w:b w:val="0"/>
                <w:bCs/>
                <w:kern w:val="0"/>
                <w:sz w:val="21"/>
                <w:szCs w:val="21"/>
                <w:highlight w:val="none"/>
              </w:rPr>
              <w:br w:type="textWrapping"/>
            </w:r>
            <w:r>
              <w:rPr>
                <w:rFonts w:hint="eastAsia" w:ascii="宋体" w:hAnsi="宋体" w:eastAsia="宋体" w:cs="宋体"/>
                <w:b w:val="0"/>
                <w:bCs/>
                <w:kern w:val="0"/>
                <w:sz w:val="21"/>
                <w:szCs w:val="21"/>
                <w:highlight w:val="none"/>
              </w:rPr>
              <w:t>3、防护棚座椅选用高密度聚乙烯为原料，加以抗老化剂等配合料，采用中空吹塑制造工艺，在中空吹塑机上一次吹塑成型，强度高、抗冲击性、耐候性好、耐酸碱，抗静电，耐磨，不积水，颜色稳定等特点。</w:t>
            </w:r>
          </w:p>
        </w:tc>
        <w:tc>
          <w:tcPr>
            <w:tcW w:w="645"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5</w:t>
            </w:r>
          </w:p>
        </w:tc>
        <w:tc>
          <w:tcPr>
            <w:tcW w:w="660"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组（4座/组)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592"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7</w:t>
            </w:r>
          </w:p>
        </w:tc>
        <w:tc>
          <w:tcPr>
            <w:tcW w:w="857"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篮球架</w:t>
            </w:r>
          </w:p>
        </w:tc>
        <w:tc>
          <w:tcPr>
            <w:tcW w:w="6593" w:type="dxa"/>
            <w:vAlign w:val="center"/>
          </w:tcPr>
          <w:p>
            <w:pPr>
              <w:spacing w:line="240" w:lineRule="atLeast"/>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1、产品规格：篮球架伸臂长2.25m，篮圈上沿离地面3050±6mm；</w:t>
            </w:r>
            <w:r>
              <w:rPr>
                <w:rFonts w:hint="eastAsia" w:ascii="宋体" w:hAnsi="宋体" w:eastAsia="宋体" w:cs="宋体"/>
                <w:b w:val="0"/>
                <w:bCs/>
                <w:kern w:val="0"/>
                <w:sz w:val="21"/>
                <w:szCs w:val="21"/>
                <w:highlight w:val="none"/>
              </w:rPr>
              <w:br w:type="textWrapping"/>
            </w:r>
            <w:r>
              <w:rPr>
                <w:rFonts w:hint="eastAsia" w:ascii="宋体" w:hAnsi="宋体" w:eastAsia="宋体" w:cs="宋体"/>
                <w:b w:val="0"/>
                <w:bCs/>
                <w:kern w:val="0"/>
                <w:sz w:val="21"/>
                <w:szCs w:val="21"/>
                <w:highlight w:val="none"/>
              </w:rPr>
              <w:t>2、球架立柱采用定制不低于□180×180×4（㎜）优质大圆角方管制作，圆角R40mm，篮架伸臂采用不低于δ3进口优质铁板一次冲压成型</w:t>
            </w:r>
            <w:r>
              <w:rPr>
                <w:rFonts w:hint="eastAsia" w:ascii="宋体" w:hAnsi="宋体" w:eastAsia="宋体" w:cs="宋体"/>
                <w:b w:val="0"/>
                <w:bCs/>
                <w:kern w:val="0"/>
                <w:sz w:val="21"/>
                <w:szCs w:val="21"/>
                <w:highlight w:val="none"/>
              </w:rPr>
              <w:br w:type="textWrapping"/>
            </w:r>
            <w:r>
              <w:rPr>
                <w:rFonts w:hint="eastAsia" w:ascii="宋体" w:hAnsi="宋体" w:eastAsia="宋体" w:cs="宋体"/>
                <w:b w:val="0"/>
                <w:bCs/>
                <w:kern w:val="0"/>
                <w:sz w:val="21"/>
                <w:szCs w:val="21"/>
                <w:highlight w:val="none"/>
                <w:lang w:val="en-US" w:eastAsia="zh-CN"/>
              </w:rPr>
              <w:t>▲</w:t>
            </w:r>
            <w:r>
              <w:rPr>
                <w:rFonts w:hint="eastAsia" w:ascii="宋体" w:hAnsi="宋体" w:eastAsia="宋体" w:cs="宋体"/>
                <w:b w:val="0"/>
                <w:bCs/>
                <w:kern w:val="0"/>
                <w:sz w:val="21"/>
                <w:szCs w:val="21"/>
                <w:highlight w:val="none"/>
              </w:rPr>
              <w:t>3、篮板规格：篮板高：1050-1070（mm），篮板宽：1800-1830（mm），篮板配用国际通用的高强度安全玻璃篮板</w:t>
            </w:r>
            <w:r>
              <w:rPr>
                <w:rFonts w:hint="eastAsia" w:ascii="宋体" w:hAnsi="宋体" w:eastAsia="宋体" w:cs="宋体"/>
                <w:b w:val="0"/>
                <w:bCs/>
                <w:kern w:val="0"/>
                <w:sz w:val="21"/>
                <w:szCs w:val="21"/>
                <w:highlight w:val="none"/>
              </w:rPr>
              <w:br w:type="textWrapping"/>
            </w:r>
            <w:r>
              <w:rPr>
                <w:rFonts w:hint="eastAsia" w:ascii="宋体" w:hAnsi="宋体" w:eastAsia="宋体" w:cs="宋体"/>
                <w:b w:val="0"/>
                <w:bCs/>
                <w:kern w:val="0"/>
                <w:sz w:val="21"/>
                <w:szCs w:val="21"/>
                <w:highlight w:val="none"/>
              </w:rPr>
              <w:t>4、篮圈采用不低于φ17（㎜）实心圆钢制作，配篮网</w:t>
            </w:r>
            <w:r>
              <w:rPr>
                <w:rFonts w:hint="eastAsia" w:ascii="宋体" w:hAnsi="宋体" w:eastAsia="宋体" w:cs="宋体"/>
                <w:b w:val="0"/>
                <w:bCs/>
                <w:kern w:val="0"/>
                <w:sz w:val="21"/>
                <w:szCs w:val="21"/>
                <w:highlight w:val="none"/>
              </w:rPr>
              <w:br w:type="textWrapping"/>
            </w:r>
            <w:r>
              <w:rPr>
                <w:rFonts w:hint="eastAsia" w:ascii="宋体" w:hAnsi="宋体" w:eastAsia="宋体" w:cs="宋体"/>
                <w:b w:val="0"/>
                <w:bCs/>
                <w:kern w:val="0"/>
                <w:sz w:val="21"/>
                <w:szCs w:val="21"/>
                <w:highlight w:val="none"/>
              </w:rPr>
              <w:t>5、产品涂层厚度70—80um，铅笔硬度达3H+或以上。产品具有耐酸碱、耐湿热、抗老化等优点</w:t>
            </w:r>
          </w:p>
        </w:tc>
        <w:tc>
          <w:tcPr>
            <w:tcW w:w="645"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20</w:t>
            </w:r>
          </w:p>
        </w:tc>
        <w:tc>
          <w:tcPr>
            <w:tcW w:w="660"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592"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8</w:t>
            </w:r>
          </w:p>
        </w:tc>
        <w:tc>
          <w:tcPr>
            <w:tcW w:w="857"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篮球裁判计时计分器</w:t>
            </w:r>
          </w:p>
        </w:tc>
        <w:tc>
          <w:tcPr>
            <w:tcW w:w="6593" w:type="dxa"/>
            <w:vAlign w:val="center"/>
          </w:tcPr>
          <w:p>
            <w:pPr>
              <w:spacing w:line="240" w:lineRule="atLeast"/>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1、便携式小型电子计分牌计时，二十四秒显示器根据最新国际篮球竞赛规则设计制作。</w:t>
            </w:r>
          </w:p>
          <w:p>
            <w:pPr>
              <w:spacing w:line="240" w:lineRule="atLeast"/>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2、比赛计时、篮球24秒和14秒功能。</w:t>
            </w:r>
          </w:p>
          <w:p>
            <w:pPr>
              <w:spacing w:line="240" w:lineRule="atLeast"/>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3、分数、发球数和发球方指示：显示发球数和比赛分数。</w:t>
            </w:r>
          </w:p>
          <w:p>
            <w:pPr>
              <w:spacing w:line="240" w:lineRule="atLeast"/>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4、秒表比赛、局计时：显示剩余的比赛时间和每局已经过去的时间。</w:t>
            </w:r>
          </w:p>
          <w:p>
            <w:pPr>
              <w:spacing w:line="240" w:lineRule="atLeast"/>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5、回合、休息倒计时：连续显示回合数和剩余时间。</w:t>
            </w:r>
          </w:p>
          <w:p>
            <w:pPr>
              <w:spacing w:line="240" w:lineRule="atLeast"/>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6、电子节拍数程控时钟：时间可以按节连续倒计。</w:t>
            </w:r>
          </w:p>
          <w:p>
            <w:pPr>
              <w:spacing w:line="240" w:lineRule="atLeast"/>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7、时钟、闹时：24小时制格式。</w:t>
            </w:r>
          </w:p>
          <w:p>
            <w:pPr>
              <w:spacing w:line="240" w:lineRule="atLeast"/>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lang w:val="en-US" w:eastAsia="zh-CN"/>
              </w:rPr>
              <w:t>■</w:t>
            </w:r>
            <w:r>
              <w:rPr>
                <w:rFonts w:hint="eastAsia" w:ascii="宋体" w:hAnsi="宋体" w:eastAsia="宋体" w:cs="宋体"/>
                <w:b w:val="0"/>
                <w:bCs/>
                <w:kern w:val="0"/>
                <w:sz w:val="21"/>
                <w:szCs w:val="21"/>
                <w:highlight w:val="none"/>
              </w:rPr>
              <w:t>8、须与原有篮球计时裁判系统</w:t>
            </w:r>
            <w:r>
              <w:rPr>
                <w:rFonts w:hint="eastAsia" w:ascii="宋体" w:hAnsi="宋体" w:eastAsia="宋体" w:cs="宋体"/>
                <w:b w:val="0"/>
                <w:bCs/>
                <w:kern w:val="0"/>
                <w:sz w:val="21"/>
                <w:szCs w:val="21"/>
                <w:highlight w:val="none"/>
                <w:lang w:eastAsia="zh-CN"/>
              </w:rPr>
              <w:t>（金陵）</w:t>
            </w:r>
            <w:r>
              <w:rPr>
                <w:rFonts w:hint="eastAsia" w:ascii="宋体" w:hAnsi="宋体" w:eastAsia="宋体" w:cs="宋体"/>
                <w:b w:val="0"/>
                <w:bCs/>
                <w:kern w:val="0"/>
                <w:sz w:val="21"/>
                <w:szCs w:val="21"/>
                <w:highlight w:val="none"/>
              </w:rPr>
              <w:t>无障碍通讯，</w:t>
            </w:r>
            <w:r>
              <w:rPr>
                <w:rFonts w:hint="eastAsia" w:ascii="宋体" w:hAnsi="宋体" w:eastAsia="宋体" w:cs="宋体"/>
                <w:b w:val="0"/>
                <w:bCs/>
                <w:kern w:val="0"/>
                <w:sz w:val="21"/>
                <w:szCs w:val="21"/>
                <w:highlight w:val="none"/>
                <w:lang w:eastAsia="zh-CN"/>
              </w:rPr>
              <w:t>（需提供证明材料）</w:t>
            </w:r>
            <w:r>
              <w:rPr>
                <w:rFonts w:hint="eastAsia" w:ascii="宋体" w:hAnsi="宋体" w:eastAsia="宋体" w:cs="宋体"/>
                <w:b w:val="0"/>
                <w:bCs/>
                <w:kern w:val="0"/>
                <w:sz w:val="21"/>
                <w:szCs w:val="21"/>
                <w:highlight w:val="none"/>
              </w:rPr>
              <w:t>。</w:t>
            </w:r>
          </w:p>
        </w:tc>
        <w:tc>
          <w:tcPr>
            <w:tcW w:w="645"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2</w:t>
            </w:r>
          </w:p>
        </w:tc>
        <w:tc>
          <w:tcPr>
            <w:tcW w:w="660"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592"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9</w:t>
            </w:r>
          </w:p>
        </w:tc>
        <w:tc>
          <w:tcPr>
            <w:tcW w:w="857"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裁判椅</w:t>
            </w:r>
          </w:p>
        </w:tc>
        <w:tc>
          <w:tcPr>
            <w:tcW w:w="6593" w:type="dxa"/>
            <w:vAlign w:val="center"/>
          </w:tcPr>
          <w:p>
            <w:pPr>
              <w:spacing w:line="240" w:lineRule="atLeast"/>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1、规格：长×宽×高×椅面高≥760×1420×3415×2145（㎜）</w:t>
            </w:r>
            <w:r>
              <w:rPr>
                <w:rFonts w:hint="eastAsia" w:ascii="宋体" w:hAnsi="宋体" w:eastAsia="宋体" w:cs="宋体"/>
                <w:b w:val="0"/>
                <w:bCs/>
                <w:kern w:val="0"/>
                <w:sz w:val="21"/>
                <w:szCs w:val="21"/>
                <w:highlight w:val="none"/>
              </w:rPr>
              <w:br w:type="textWrapping"/>
            </w:r>
            <w:r>
              <w:rPr>
                <w:rFonts w:hint="eastAsia" w:ascii="宋体" w:hAnsi="宋体" w:eastAsia="宋体" w:cs="宋体"/>
                <w:b w:val="0"/>
                <w:bCs/>
                <w:kern w:val="0"/>
                <w:sz w:val="21"/>
                <w:szCs w:val="21"/>
                <w:highlight w:val="none"/>
              </w:rPr>
              <w:t>2、裁判椅框架采用不低于70×30×2（㎜）铝平椭管方管和不低于38×25×2（㎜）铝管制作、支架上部设有搁手板</w:t>
            </w:r>
            <w:r>
              <w:rPr>
                <w:rFonts w:hint="eastAsia" w:ascii="宋体" w:hAnsi="宋体" w:eastAsia="宋体" w:cs="宋体"/>
                <w:b w:val="0"/>
                <w:bCs/>
                <w:kern w:val="0"/>
                <w:sz w:val="21"/>
                <w:szCs w:val="21"/>
                <w:highlight w:val="none"/>
              </w:rPr>
              <w:br w:type="textWrapping"/>
            </w:r>
            <w:r>
              <w:rPr>
                <w:rFonts w:hint="eastAsia" w:ascii="宋体" w:hAnsi="宋体" w:eastAsia="宋体" w:cs="宋体"/>
                <w:b w:val="0"/>
                <w:bCs/>
                <w:kern w:val="0"/>
                <w:sz w:val="21"/>
                <w:szCs w:val="21"/>
                <w:highlight w:val="none"/>
              </w:rPr>
              <w:t>3、顶棚采用不低于30×30×2（㎜）铝管制作</w:t>
            </w:r>
            <w:r>
              <w:rPr>
                <w:rFonts w:hint="eastAsia" w:ascii="宋体" w:hAnsi="宋体" w:eastAsia="宋体" w:cs="宋体"/>
                <w:b w:val="0"/>
                <w:bCs/>
                <w:kern w:val="0"/>
                <w:sz w:val="21"/>
                <w:szCs w:val="21"/>
                <w:highlight w:val="none"/>
              </w:rPr>
              <w:br w:type="textWrapping"/>
            </w:r>
            <w:r>
              <w:rPr>
                <w:rFonts w:hint="eastAsia" w:ascii="宋体" w:hAnsi="宋体" w:eastAsia="宋体" w:cs="宋体"/>
                <w:b w:val="0"/>
                <w:bCs/>
                <w:kern w:val="0"/>
                <w:sz w:val="21"/>
                <w:szCs w:val="21"/>
                <w:highlight w:val="none"/>
              </w:rPr>
              <w:t>4、产品涂层厚度70—80um，铅笔硬度达3H+或以上。产品具有耐酸碱、耐湿热、抗老化等优点</w:t>
            </w:r>
          </w:p>
        </w:tc>
        <w:tc>
          <w:tcPr>
            <w:tcW w:w="645"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9</w:t>
            </w:r>
          </w:p>
        </w:tc>
        <w:tc>
          <w:tcPr>
            <w:tcW w:w="660"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592"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10</w:t>
            </w:r>
          </w:p>
        </w:tc>
        <w:tc>
          <w:tcPr>
            <w:tcW w:w="857"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运动员坐椅</w:t>
            </w:r>
          </w:p>
        </w:tc>
        <w:tc>
          <w:tcPr>
            <w:tcW w:w="6593" w:type="dxa"/>
            <w:vAlign w:val="center"/>
          </w:tcPr>
          <w:p>
            <w:pPr>
              <w:spacing w:line="240" w:lineRule="atLeast"/>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1、规格：长×宽×高×椅面高≥1660×1000×2000（㎜）</w:t>
            </w:r>
            <w:r>
              <w:rPr>
                <w:rFonts w:hint="eastAsia" w:ascii="宋体" w:hAnsi="宋体" w:eastAsia="宋体" w:cs="宋体"/>
                <w:b w:val="0"/>
                <w:bCs/>
                <w:kern w:val="0"/>
                <w:sz w:val="21"/>
                <w:szCs w:val="21"/>
                <w:highlight w:val="none"/>
              </w:rPr>
              <w:br w:type="textWrapping"/>
            </w:r>
            <w:r>
              <w:rPr>
                <w:rFonts w:hint="eastAsia" w:ascii="宋体" w:hAnsi="宋体" w:eastAsia="宋体" w:cs="宋体"/>
                <w:b w:val="0"/>
                <w:bCs/>
                <w:kern w:val="0"/>
                <w:sz w:val="21"/>
                <w:szCs w:val="21"/>
                <w:highlight w:val="none"/>
              </w:rPr>
              <w:t>2、框架主要采用不低于</w:t>
            </w:r>
            <w:r>
              <w:rPr>
                <w:rFonts w:hint="eastAsia" w:ascii="宋体" w:hAnsi="宋体" w:eastAsia="宋体" w:cs="宋体"/>
                <w:b w:val="0"/>
                <w:bCs/>
                <w:kern w:val="0"/>
                <w:sz w:val="21"/>
                <w:szCs w:val="21"/>
                <w:highlight w:val="none"/>
              </w:rPr>
              <w:sym w:font="Wingdings 2" w:char="00A3"/>
            </w:r>
            <w:r>
              <w:rPr>
                <w:rFonts w:hint="eastAsia" w:ascii="宋体" w:hAnsi="宋体" w:eastAsia="宋体" w:cs="宋体"/>
                <w:b w:val="0"/>
                <w:bCs/>
                <w:kern w:val="0"/>
                <w:sz w:val="21"/>
                <w:szCs w:val="21"/>
                <w:highlight w:val="none"/>
              </w:rPr>
              <w:t>40×25×2（㎜）、25×25×2（㎜）方管和不低于80×40×2（㎜）平椭圆管制作，顶棚采用不低于30x×30×2（㎜）焊管拼焊而成，上覆透明耐击板</w:t>
            </w:r>
            <w:r>
              <w:rPr>
                <w:rFonts w:hint="eastAsia" w:ascii="宋体" w:hAnsi="宋体" w:eastAsia="宋体" w:cs="宋体"/>
                <w:b w:val="0"/>
                <w:bCs/>
                <w:kern w:val="0"/>
                <w:sz w:val="21"/>
                <w:szCs w:val="21"/>
                <w:highlight w:val="none"/>
              </w:rPr>
              <w:br w:type="textWrapping"/>
            </w:r>
            <w:r>
              <w:rPr>
                <w:rFonts w:hint="eastAsia" w:ascii="宋体" w:hAnsi="宋体" w:eastAsia="宋体" w:cs="宋体"/>
                <w:b w:val="0"/>
                <w:bCs/>
                <w:kern w:val="0"/>
                <w:sz w:val="21"/>
                <w:szCs w:val="21"/>
                <w:highlight w:val="none"/>
              </w:rPr>
              <w:t>3、产品涂层厚度70—80um，铅笔硬度达3H+或以上。产品具有耐酸碱、耐湿热、抗老化等优点</w:t>
            </w:r>
          </w:p>
        </w:tc>
        <w:tc>
          <w:tcPr>
            <w:tcW w:w="645"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9</w:t>
            </w:r>
          </w:p>
        </w:tc>
        <w:tc>
          <w:tcPr>
            <w:tcW w:w="660"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张（3座）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592"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11</w:t>
            </w:r>
          </w:p>
        </w:tc>
        <w:tc>
          <w:tcPr>
            <w:tcW w:w="857"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终点裁判台</w:t>
            </w:r>
          </w:p>
        </w:tc>
        <w:tc>
          <w:tcPr>
            <w:tcW w:w="6593" w:type="dxa"/>
            <w:vAlign w:val="center"/>
          </w:tcPr>
          <w:p>
            <w:pPr>
              <w:spacing w:line="240" w:lineRule="atLeast"/>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1.终点裁判台可以自由伸缩。裁判台收缩，占地面积为:长×宽×高≥2500×1720×2200（㎜）；使用时，裁判台拉伸， 此时占地面积为:长×宽×高≥3660×1720×2200（㎜）。</w:t>
            </w:r>
            <w:r>
              <w:rPr>
                <w:rFonts w:hint="eastAsia" w:ascii="宋体" w:hAnsi="宋体" w:eastAsia="宋体" w:cs="宋体"/>
                <w:b w:val="0"/>
                <w:bCs/>
                <w:kern w:val="0"/>
                <w:sz w:val="21"/>
                <w:szCs w:val="21"/>
                <w:highlight w:val="none"/>
              </w:rPr>
              <w:br w:type="textWrapping"/>
            </w:r>
            <w:r>
              <w:rPr>
                <w:rFonts w:hint="eastAsia" w:ascii="宋体" w:hAnsi="宋体" w:eastAsia="宋体" w:cs="宋体"/>
                <w:b w:val="0"/>
                <w:bCs/>
                <w:kern w:val="0"/>
                <w:sz w:val="21"/>
                <w:szCs w:val="21"/>
                <w:highlight w:val="none"/>
              </w:rPr>
              <w:t>2、裁判台上设有扶手栏杆，扶手栏杆采用不低于Φ32、Φ25圆管拼焊制作。</w:t>
            </w:r>
            <w:r>
              <w:rPr>
                <w:rFonts w:hint="eastAsia" w:ascii="宋体" w:hAnsi="宋体" w:eastAsia="宋体" w:cs="宋体"/>
                <w:b w:val="0"/>
                <w:bCs/>
                <w:kern w:val="0"/>
                <w:sz w:val="21"/>
                <w:szCs w:val="21"/>
                <w:highlight w:val="none"/>
              </w:rPr>
              <w:br w:type="textWrapping"/>
            </w:r>
            <w:r>
              <w:rPr>
                <w:rFonts w:hint="eastAsia" w:ascii="宋体" w:hAnsi="宋体" w:eastAsia="宋体" w:cs="宋体"/>
                <w:b w:val="0"/>
                <w:bCs/>
                <w:kern w:val="0"/>
                <w:sz w:val="21"/>
                <w:szCs w:val="21"/>
                <w:highlight w:val="none"/>
              </w:rPr>
              <w:t>3.裁判台上7个踏步，踏步规格：长×宽×高≥1600×500×250（㎜）。第一踏步采用方管与花纹铁板，能够防滑；</w:t>
            </w:r>
            <w:r>
              <w:rPr>
                <w:rFonts w:hint="eastAsia" w:ascii="宋体" w:hAnsi="宋体" w:eastAsia="宋体" w:cs="宋体"/>
                <w:b w:val="0"/>
                <w:bCs/>
                <w:kern w:val="0"/>
                <w:sz w:val="21"/>
                <w:szCs w:val="21"/>
                <w:highlight w:val="none"/>
              </w:rPr>
              <w:br w:type="textWrapping"/>
            </w:r>
            <w:r>
              <w:rPr>
                <w:rFonts w:hint="eastAsia" w:ascii="宋体" w:hAnsi="宋体" w:eastAsia="宋体" w:cs="宋体"/>
                <w:b w:val="0"/>
                <w:bCs/>
                <w:kern w:val="0"/>
                <w:sz w:val="21"/>
                <w:szCs w:val="21"/>
                <w:highlight w:val="none"/>
              </w:rPr>
              <w:t>4.裁判台上装有支撑脚与走轮，通过手柄控制</w:t>
            </w:r>
            <w:r>
              <w:rPr>
                <w:rFonts w:hint="eastAsia" w:ascii="宋体" w:hAnsi="宋体" w:eastAsia="宋体" w:cs="宋体"/>
                <w:b w:val="0"/>
                <w:bCs/>
                <w:kern w:val="0"/>
                <w:sz w:val="21"/>
                <w:szCs w:val="21"/>
                <w:highlight w:val="none"/>
              </w:rPr>
              <w:br w:type="textWrapping"/>
            </w:r>
            <w:r>
              <w:rPr>
                <w:rFonts w:hint="eastAsia" w:ascii="宋体" w:hAnsi="宋体" w:eastAsia="宋体" w:cs="宋体"/>
                <w:b w:val="0"/>
                <w:bCs/>
                <w:kern w:val="0"/>
                <w:sz w:val="21"/>
                <w:szCs w:val="21"/>
                <w:highlight w:val="none"/>
              </w:rPr>
              <w:t>5.产品涂层厚度70—80um，铅笔硬度达3H+或以上。产品具有耐酸碱、耐湿热、抗老化等优点</w:t>
            </w:r>
          </w:p>
        </w:tc>
        <w:tc>
          <w:tcPr>
            <w:tcW w:w="645"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2</w:t>
            </w:r>
          </w:p>
        </w:tc>
        <w:tc>
          <w:tcPr>
            <w:tcW w:w="660"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592"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12</w:t>
            </w:r>
          </w:p>
        </w:tc>
        <w:tc>
          <w:tcPr>
            <w:tcW w:w="857"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防风网</w:t>
            </w:r>
          </w:p>
        </w:tc>
        <w:tc>
          <w:tcPr>
            <w:tcW w:w="6593" w:type="dxa"/>
            <w:vAlign w:val="center"/>
          </w:tcPr>
          <w:p>
            <w:pPr>
              <w:spacing w:line="240" w:lineRule="atLeast"/>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lang w:val="en-US" w:eastAsia="zh-CN"/>
              </w:rPr>
              <w:t>▲</w:t>
            </w:r>
            <w:r>
              <w:rPr>
                <w:rFonts w:hint="eastAsia" w:ascii="宋体" w:hAnsi="宋体" w:eastAsia="宋体" w:cs="宋体"/>
                <w:b w:val="0"/>
                <w:bCs/>
                <w:kern w:val="0"/>
                <w:sz w:val="21"/>
                <w:szCs w:val="21"/>
                <w:highlight w:val="none"/>
              </w:rPr>
              <w:t>1、PE防风网。</w:t>
            </w:r>
          </w:p>
          <w:p>
            <w:pPr>
              <w:spacing w:line="240" w:lineRule="atLeast"/>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2、规格：高度≥4米，宽与三块场地底线一致。</w:t>
            </w:r>
          </w:p>
        </w:tc>
        <w:tc>
          <w:tcPr>
            <w:tcW w:w="645"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640</w:t>
            </w:r>
          </w:p>
        </w:tc>
        <w:tc>
          <w:tcPr>
            <w:tcW w:w="660"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592"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13</w:t>
            </w:r>
          </w:p>
        </w:tc>
        <w:tc>
          <w:tcPr>
            <w:tcW w:w="857"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撞包</w:t>
            </w:r>
          </w:p>
        </w:tc>
        <w:tc>
          <w:tcPr>
            <w:tcW w:w="6593" w:type="dxa"/>
            <w:vAlign w:val="center"/>
          </w:tcPr>
          <w:p>
            <w:pPr>
              <w:spacing w:line="240" w:lineRule="atLeast"/>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1、材质：海绵加皮料</w:t>
            </w:r>
            <w:r>
              <w:rPr>
                <w:rFonts w:hint="eastAsia" w:ascii="宋体" w:hAnsi="宋体" w:eastAsia="宋体" w:cs="宋体"/>
                <w:b w:val="0"/>
                <w:bCs/>
                <w:kern w:val="0"/>
                <w:sz w:val="21"/>
                <w:szCs w:val="21"/>
                <w:highlight w:val="none"/>
              </w:rPr>
              <w:br w:type="textWrapping"/>
            </w:r>
            <w:r>
              <w:rPr>
                <w:rFonts w:hint="eastAsia" w:ascii="宋体" w:hAnsi="宋体" w:eastAsia="宋体" w:cs="宋体"/>
                <w:b w:val="0"/>
                <w:bCs/>
                <w:kern w:val="0"/>
                <w:sz w:val="21"/>
                <w:szCs w:val="21"/>
                <w:highlight w:val="none"/>
              </w:rPr>
              <w:t>2、规格：成人款</w:t>
            </w:r>
          </w:p>
        </w:tc>
        <w:tc>
          <w:tcPr>
            <w:tcW w:w="645"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8</w:t>
            </w:r>
          </w:p>
        </w:tc>
        <w:tc>
          <w:tcPr>
            <w:tcW w:w="660"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592"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14</w:t>
            </w:r>
          </w:p>
        </w:tc>
        <w:tc>
          <w:tcPr>
            <w:tcW w:w="857"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扑搂包</w:t>
            </w:r>
          </w:p>
        </w:tc>
        <w:tc>
          <w:tcPr>
            <w:tcW w:w="6593" w:type="dxa"/>
            <w:vAlign w:val="center"/>
          </w:tcPr>
          <w:p>
            <w:pPr>
              <w:spacing w:line="240" w:lineRule="atLeast"/>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1、材质：海绵加皮料</w:t>
            </w:r>
            <w:r>
              <w:rPr>
                <w:rFonts w:hint="eastAsia" w:ascii="宋体" w:hAnsi="宋体" w:eastAsia="宋体" w:cs="宋体"/>
                <w:b w:val="0"/>
                <w:bCs/>
                <w:kern w:val="0"/>
                <w:sz w:val="21"/>
                <w:szCs w:val="21"/>
                <w:highlight w:val="none"/>
              </w:rPr>
              <w:br w:type="textWrapping"/>
            </w:r>
            <w:r>
              <w:rPr>
                <w:rFonts w:hint="eastAsia" w:ascii="宋体" w:hAnsi="宋体" w:eastAsia="宋体" w:cs="宋体"/>
                <w:b w:val="0"/>
                <w:bCs/>
                <w:kern w:val="0"/>
                <w:sz w:val="21"/>
                <w:szCs w:val="21"/>
                <w:highlight w:val="none"/>
              </w:rPr>
              <w:t>2、成人款</w:t>
            </w:r>
            <w:r>
              <w:rPr>
                <w:rFonts w:hint="eastAsia" w:ascii="宋体" w:hAnsi="宋体" w:eastAsia="宋体" w:cs="宋体"/>
                <w:b w:val="0"/>
                <w:bCs/>
                <w:kern w:val="0"/>
                <w:sz w:val="21"/>
                <w:szCs w:val="21"/>
                <w:highlight w:val="none"/>
              </w:rPr>
              <w:br w:type="textWrapping"/>
            </w:r>
            <w:r>
              <w:rPr>
                <w:rFonts w:hint="eastAsia" w:ascii="宋体" w:hAnsi="宋体" w:eastAsia="宋体" w:cs="宋体"/>
                <w:b w:val="0"/>
                <w:bCs/>
                <w:kern w:val="0"/>
                <w:sz w:val="21"/>
                <w:szCs w:val="21"/>
                <w:highlight w:val="none"/>
              </w:rPr>
              <w:t>3、规格：不小于138cm*38cm</w:t>
            </w:r>
          </w:p>
        </w:tc>
        <w:tc>
          <w:tcPr>
            <w:tcW w:w="645"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8</w:t>
            </w:r>
          </w:p>
        </w:tc>
        <w:tc>
          <w:tcPr>
            <w:tcW w:w="660"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592"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15</w:t>
            </w:r>
          </w:p>
        </w:tc>
        <w:tc>
          <w:tcPr>
            <w:tcW w:w="857"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扑搂训练服</w:t>
            </w:r>
          </w:p>
        </w:tc>
        <w:tc>
          <w:tcPr>
            <w:tcW w:w="6593" w:type="dxa"/>
            <w:vAlign w:val="center"/>
          </w:tcPr>
          <w:p>
            <w:pPr>
              <w:spacing w:line="240" w:lineRule="atLeast"/>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全身款</w:t>
            </w:r>
          </w:p>
        </w:tc>
        <w:tc>
          <w:tcPr>
            <w:tcW w:w="645"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10</w:t>
            </w:r>
          </w:p>
        </w:tc>
        <w:tc>
          <w:tcPr>
            <w:tcW w:w="660"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592"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16</w:t>
            </w:r>
          </w:p>
        </w:tc>
        <w:tc>
          <w:tcPr>
            <w:tcW w:w="857"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移动扑搂包</w:t>
            </w:r>
          </w:p>
        </w:tc>
        <w:tc>
          <w:tcPr>
            <w:tcW w:w="6593" w:type="dxa"/>
            <w:vAlign w:val="center"/>
          </w:tcPr>
          <w:p>
            <w:pPr>
              <w:spacing w:line="240" w:lineRule="atLeast"/>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1、材质：海绵加皮料</w:t>
            </w:r>
            <w:r>
              <w:rPr>
                <w:rFonts w:hint="eastAsia" w:ascii="宋体" w:hAnsi="宋体" w:eastAsia="宋体" w:cs="宋体"/>
                <w:b w:val="0"/>
                <w:bCs/>
                <w:kern w:val="0"/>
                <w:sz w:val="21"/>
                <w:szCs w:val="21"/>
                <w:highlight w:val="none"/>
              </w:rPr>
              <w:br w:type="textWrapping"/>
            </w:r>
            <w:r>
              <w:rPr>
                <w:rFonts w:hint="eastAsia" w:ascii="宋体" w:hAnsi="宋体" w:eastAsia="宋体" w:cs="宋体"/>
                <w:b w:val="0"/>
                <w:bCs/>
                <w:kern w:val="0"/>
                <w:sz w:val="21"/>
                <w:szCs w:val="21"/>
                <w:highlight w:val="none"/>
              </w:rPr>
              <w:t>2、圆形滚动款</w:t>
            </w:r>
          </w:p>
        </w:tc>
        <w:tc>
          <w:tcPr>
            <w:tcW w:w="645"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4</w:t>
            </w:r>
          </w:p>
        </w:tc>
        <w:tc>
          <w:tcPr>
            <w:tcW w:w="660"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trPr>
        <w:tc>
          <w:tcPr>
            <w:tcW w:w="592"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17</w:t>
            </w:r>
          </w:p>
        </w:tc>
        <w:tc>
          <w:tcPr>
            <w:tcW w:w="857"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斯科兰训练机</w:t>
            </w:r>
          </w:p>
        </w:tc>
        <w:tc>
          <w:tcPr>
            <w:tcW w:w="6593" w:type="dxa"/>
            <w:vAlign w:val="center"/>
          </w:tcPr>
          <w:p>
            <w:pPr>
              <w:spacing w:line="240" w:lineRule="atLeast"/>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简易款</w:t>
            </w:r>
          </w:p>
        </w:tc>
        <w:tc>
          <w:tcPr>
            <w:tcW w:w="645"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1</w:t>
            </w:r>
          </w:p>
        </w:tc>
        <w:tc>
          <w:tcPr>
            <w:tcW w:w="660" w:type="dxa"/>
            <w:vAlign w:val="center"/>
          </w:tcPr>
          <w:p>
            <w:pPr>
              <w:spacing w:line="240" w:lineRule="atLeast"/>
              <w:jc w:val="center"/>
              <w:rPr>
                <w:rFonts w:hint="eastAsia" w:ascii="宋体" w:hAnsi="宋体" w:eastAsia="宋体" w:cs="宋体"/>
                <w:b w:val="0"/>
                <w:bCs/>
                <w:kern w:val="0"/>
                <w:sz w:val="21"/>
                <w:szCs w:val="21"/>
                <w:highlight w:val="none"/>
              </w:rPr>
            </w:pPr>
            <w:r>
              <w:rPr>
                <w:rFonts w:hint="eastAsia" w:ascii="宋体" w:hAnsi="宋体" w:eastAsia="宋体" w:cs="宋体"/>
                <w:b w:val="0"/>
                <w:bCs/>
                <w:kern w:val="0"/>
                <w:sz w:val="21"/>
                <w:szCs w:val="21"/>
                <w:highlight w:val="none"/>
              </w:rPr>
              <w:t>台</w:t>
            </w:r>
          </w:p>
        </w:tc>
      </w:tr>
    </w:tbl>
    <w:p>
      <w:pPr>
        <w:pStyle w:val="2"/>
        <w:ind w:firstLine="424" w:firstLineChars="200"/>
        <w:rPr>
          <w:rFonts w:hint="default"/>
          <w:lang w:val="en-US" w:eastAsia="zh-CN"/>
        </w:rPr>
      </w:pPr>
    </w:p>
    <w:p>
      <w:pPr>
        <w:snapToGrid w:val="0"/>
        <w:rPr>
          <w:rFonts w:hint="eastAsia" w:asciiTheme="minorEastAsia" w:hAnsiTheme="minorEastAsia" w:eastAsiaTheme="minorEastAsia"/>
          <w:b/>
          <w:sz w:val="24"/>
        </w:rPr>
      </w:pPr>
      <w:r>
        <w:rPr>
          <w:rFonts w:hint="eastAsia" w:asciiTheme="minorEastAsia" w:hAnsiTheme="minorEastAsia" w:eastAsiaTheme="minorEastAsia"/>
          <w:b/>
          <w:sz w:val="24"/>
        </w:rPr>
        <w:t>注：</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firstLine="484" w:firstLineChars="200"/>
        <w:textAlignment w:val="auto"/>
        <w:rPr>
          <w:rFonts w:hint="eastAsia" w:asciiTheme="minorEastAsia" w:hAnsiTheme="minorEastAsia" w:eastAsiaTheme="minorEastAsia"/>
          <w:b/>
          <w:bCs/>
          <w:sz w:val="24"/>
          <w:lang w:val="en-US" w:eastAsia="zh-CN"/>
        </w:rPr>
      </w:pPr>
      <w:r>
        <w:rPr>
          <w:rFonts w:hint="eastAsia" w:asciiTheme="minorEastAsia" w:hAnsiTheme="minorEastAsia" w:eastAsiaTheme="minorEastAsia"/>
          <w:b/>
          <w:bCs/>
          <w:sz w:val="24"/>
        </w:rPr>
        <w:t>投标人所投以上1-11款产品须为同一品牌，</w:t>
      </w:r>
      <w:r>
        <w:rPr>
          <w:rFonts w:hint="eastAsia" w:asciiTheme="minorEastAsia" w:hAnsiTheme="minorEastAsia"/>
          <w:b/>
          <w:bCs/>
          <w:sz w:val="24"/>
          <w:lang w:eastAsia="zh-CN"/>
        </w:rPr>
        <w:t>否则技术指标项不得分</w:t>
      </w:r>
      <w:r>
        <w:rPr>
          <w:rFonts w:hint="eastAsia" w:asciiTheme="minorEastAsia" w:hAnsiTheme="minorEastAsia" w:eastAsiaTheme="minorEastAsia"/>
          <w:b/>
          <w:bCs/>
          <w:sz w:val="24"/>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val="0"/>
        <w:spacing w:line="360" w:lineRule="auto"/>
        <w:ind w:firstLine="484" w:firstLineChars="200"/>
        <w:textAlignment w:val="auto"/>
        <w:rPr>
          <w:rFonts w:hint="eastAsia" w:asciiTheme="minorEastAsia" w:hAnsiTheme="minorEastAsia" w:eastAsiaTheme="minorEastAsia"/>
          <w:b/>
          <w:bCs/>
          <w:sz w:val="24"/>
          <w:lang w:val="en-US" w:eastAsia="zh-CN"/>
        </w:rPr>
      </w:pPr>
      <w:r>
        <w:rPr>
          <w:rFonts w:hint="eastAsia" w:asciiTheme="minorEastAsia" w:hAnsiTheme="minorEastAsia" w:eastAsiaTheme="minorEastAsia"/>
          <w:b/>
          <w:bCs/>
          <w:sz w:val="24"/>
          <w:lang w:val="en-US" w:eastAsia="zh-CN"/>
        </w:rPr>
        <w:t>■项供应商所提供的货物须能与采购人原有设备配套使用</w:t>
      </w:r>
      <w:r>
        <w:rPr>
          <w:rFonts w:hint="eastAsia" w:asciiTheme="minorEastAsia" w:hAnsiTheme="minorEastAsia"/>
          <w:b/>
          <w:bCs/>
          <w:sz w:val="24"/>
          <w:lang w:val="en-US" w:eastAsia="zh-CN"/>
        </w:rPr>
        <w:t>，否则技术指标不得分</w:t>
      </w:r>
      <w:r>
        <w:rPr>
          <w:rFonts w:hint="eastAsia" w:asciiTheme="minorEastAsia" w:hAnsiTheme="minorEastAsia" w:eastAsiaTheme="minorEastAsia"/>
          <w:b/>
          <w:bCs/>
          <w:sz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firstLine="484" w:firstLineChars="200"/>
        <w:textAlignment w:val="auto"/>
        <w:rPr>
          <w:rFonts w:hint="default" w:asciiTheme="minorEastAsia" w:hAnsiTheme="minorEastAsia" w:eastAsiaTheme="minorEastAsia"/>
          <w:b/>
          <w:bCs/>
          <w:sz w:val="24"/>
          <w:lang w:val="en-US" w:eastAsia="zh-CN"/>
        </w:rPr>
      </w:pPr>
      <w:r>
        <w:rPr>
          <w:rFonts w:hint="eastAsia" w:asciiTheme="minorEastAsia" w:hAnsiTheme="minorEastAsia" w:eastAsiaTheme="minorEastAsia"/>
          <w:b/>
          <w:bCs/>
          <w:sz w:val="24"/>
          <w:lang w:val="en-US" w:eastAsia="zh-CN"/>
        </w:rPr>
        <w:t>3.</w:t>
      </w:r>
      <w:r>
        <w:rPr>
          <w:rFonts w:hint="eastAsia" w:asciiTheme="minorEastAsia" w:hAnsiTheme="minorEastAsia" w:eastAsiaTheme="minorEastAsia"/>
          <w:b/>
          <w:bCs/>
          <w:sz w:val="24"/>
        </w:rPr>
        <w:t>供应商应注意响应文件的技术参数中指出的工艺、材料、软件和设备的参照品牌或型号仅起说明作用，并没有任何限制性。供应商在采购活动中可以选用替代标准、品牌或型号，但这些替代要实质上满足或超过响应文件的要求。</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sz w:val="21"/>
          <w:szCs w:val="21"/>
          <w:highlight w:val="none"/>
        </w:rPr>
      </w:pPr>
    </w:p>
    <w:p>
      <w:pPr>
        <w:rPr>
          <w:rFonts w:hint="eastAsia" w:ascii="宋体" w:hAnsi="宋体" w:eastAsia="宋体" w:cs="宋体"/>
          <w:sz w:val="21"/>
          <w:szCs w:val="21"/>
          <w:highlight w:val="none"/>
        </w:rPr>
      </w:pPr>
    </w:p>
    <w:p>
      <w:pPr>
        <w:rPr>
          <w:rFonts w:hint="eastAsia" w:ascii="宋体" w:hAnsi="宋体" w:eastAsia="宋体" w:cs="宋体"/>
          <w:sz w:val="21"/>
          <w:szCs w:val="21"/>
          <w:highlight w:val="none"/>
        </w:rPr>
      </w:pPr>
    </w:p>
    <w:p>
      <w:pPr>
        <w:rPr>
          <w:rFonts w:hint="eastAsia" w:ascii="宋体" w:hAnsi="宋体" w:eastAsia="宋体" w:cs="宋体"/>
          <w:sz w:val="21"/>
          <w:szCs w:val="21"/>
          <w:highlight w:val="none"/>
        </w:rPr>
      </w:pPr>
    </w:p>
    <w:p>
      <w:pPr>
        <w:rPr>
          <w:rFonts w:hint="eastAsia" w:ascii="宋体" w:hAnsi="宋体" w:eastAsia="宋体" w:cs="宋体"/>
          <w:sz w:val="21"/>
          <w:szCs w:val="21"/>
          <w:highlight w:val="none"/>
        </w:rPr>
      </w:pPr>
    </w:p>
    <w:p>
      <w:pPr>
        <w:rPr>
          <w:rFonts w:hint="eastAsia" w:ascii="宋体" w:hAnsi="宋体" w:eastAsia="宋体" w:cs="宋体"/>
          <w:sz w:val="21"/>
          <w:szCs w:val="21"/>
          <w:highlight w:val="none"/>
        </w:rPr>
      </w:pPr>
    </w:p>
    <w:p>
      <w:pPr>
        <w:rPr>
          <w:rFonts w:hint="eastAsia" w:ascii="宋体" w:hAnsi="宋体" w:eastAsia="宋体" w:cs="宋体"/>
          <w:b/>
          <w:bCs/>
          <w:sz w:val="44"/>
          <w:szCs w:val="44"/>
          <w:highlight w:val="none"/>
        </w:rPr>
      </w:pPr>
    </w:p>
    <w:p>
      <w:pPr>
        <w:rPr>
          <w:rFonts w:hint="eastAsia" w:ascii="黑体" w:hAnsi="黑体" w:eastAsia="黑体" w:cs="黑体"/>
          <w:b/>
          <w:bCs/>
          <w:sz w:val="30"/>
          <w:szCs w:val="30"/>
          <w:highlight w:val="none"/>
        </w:rPr>
      </w:pPr>
    </w:p>
    <w:p>
      <w:pPr>
        <w:pStyle w:val="5"/>
        <w:spacing w:before="156" w:after="156"/>
        <w:jc w:val="center"/>
        <w:rPr>
          <w:rFonts w:hint="eastAsia" w:ascii="黑体" w:hAnsi="黑体" w:eastAsia="黑体" w:cs="黑体"/>
          <w:b/>
          <w:bCs/>
          <w:sz w:val="36"/>
          <w:szCs w:val="36"/>
          <w:highlight w:val="none"/>
        </w:rPr>
      </w:pPr>
      <w:bookmarkStart w:id="58" w:name="_Toc28150"/>
      <w:bookmarkStart w:id="59" w:name="_Toc468350119"/>
      <w:r>
        <w:rPr>
          <w:rFonts w:hint="eastAsia" w:ascii="黑体" w:hAnsi="黑体" w:eastAsia="黑体" w:cs="黑体"/>
          <w:b/>
          <w:bCs/>
          <w:sz w:val="36"/>
          <w:szCs w:val="36"/>
          <w:highlight w:val="none"/>
        </w:rPr>
        <w:t>第四部分 主要合同条款及合同格式</w:t>
      </w:r>
      <w:bookmarkEnd w:id="58"/>
      <w:bookmarkEnd w:id="59"/>
    </w:p>
    <w:p>
      <w:pPr>
        <w:snapToGrid w:val="0"/>
        <w:spacing w:line="360" w:lineRule="auto"/>
        <w:ind w:right="480"/>
        <w:jc w:val="center"/>
        <w:rPr>
          <w:rFonts w:hint="eastAsia" w:ascii="黑体" w:hAnsi="黑体" w:eastAsia="黑体" w:cs="黑体"/>
          <w:b w:val="0"/>
          <w:bCs w:val="0"/>
          <w:sz w:val="28"/>
          <w:szCs w:val="28"/>
          <w:highlight w:val="none"/>
          <w:u w:val="single"/>
        </w:rPr>
      </w:pPr>
      <w:r>
        <w:rPr>
          <w:rFonts w:hint="eastAsia" w:ascii="黑体" w:hAnsi="黑体" w:eastAsia="黑体" w:cs="黑体"/>
          <w:b w:val="0"/>
          <w:bCs w:val="0"/>
          <w:sz w:val="28"/>
          <w:szCs w:val="28"/>
          <w:highlight w:val="none"/>
        </w:rPr>
        <w:t>(参照执行)</w:t>
      </w:r>
    </w:p>
    <w:p>
      <w:pPr>
        <w:snapToGrid w:val="0"/>
        <w:spacing w:line="360" w:lineRule="auto"/>
        <w:ind w:right="480"/>
        <w:jc w:val="left"/>
        <w:rPr>
          <w:rFonts w:hint="eastAsia" w:ascii="宋体" w:hAnsi="宋体" w:eastAsia="宋体" w:cs="宋体"/>
          <w:b w:val="0"/>
          <w:bCs/>
          <w:sz w:val="30"/>
          <w:szCs w:val="30"/>
          <w:highlight w:val="none"/>
          <w:u w:val="single"/>
        </w:rPr>
      </w:pPr>
    </w:p>
    <w:p>
      <w:pPr>
        <w:widowControl/>
        <w:spacing w:line="360" w:lineRule="auto"/>
        <w:jc w:val="left"/>
        <w:rPr>
          <w:rFonts w:hint="eastAsia" w:ascii="宋体" w:hAnsi="宋体" w:eastAsia="宋体" w:cs="宋体"/>
          <w:bCs/>
          <w:sz w:val="21"/>
          <w:szCs w:val="21"/>
          <w:highlight w:val="none"/>
        </w:rPr>
      </w:pPr>
      <w:r>
        <w:rPr>
          <w:rFonts w:hint="eastAsia" w:ascii="宋体" w:hAnsi="宋体" w:eastAsia="宋体" w:cs="宋体"/>
          <w:bCs/>
          <w:sz w:val="21"/>
          <w:szCs w:val="21"/>
          <w:highlight w:val="none"/>
        </w:rPr>
        <w:br w:type="page"/>
      </w:r>
    </w:p>
    <w:p>
      <w:pPr>
        <w:jc w:val="center"/>
        <w:rPr>
          <w:rFonts w:ascii="黑体" w:hAnsi="黑体" w:eastAsia="黑体"/>
          <w:b/>
          <w:position w:val="16"/>
          <w:sz w:val="36"/>
          <w:szCs w:val="36"/>
        </w:rPr>
      </w:pPr>
      <w:r>
        <w:rPr>
          <w:rFonts w:hint="eastAsia" w:ascii="黑体" w:hAnsi="黑体" w:eastAsia="黑体"/>
          <w:b/>
          <w:position w:val="16"/>
          <w:sz w:val="36"/>
          <w:szCs w:val="36"/>
        </w:rPr>
        <w:t xml:space="preserve">采  购  </w:t>
      </w:r>
      <w:r>
        <w:rPr>
          <w:rFonts w:ascii="黑体" w:hAnsi="黑体" w:eastAsia="黑体"/>
          <w:b/>
          <w:position w:val="16"/>
          <w:sz w:val="36"/>
          <w:szCs w:val="36"/>
        </w:rPr>
        <w:t xml:space="preserve">合 </w:t>
      </w:r>
      <w:r>
        <w:rPr>
          <w:rFonts w:hint="eastAsia" w:ascii="黑体" w:hAnsi="黑体" w:eastAsia="黑体"/>
          <w:b/>
          <w:position w:val="16"/>
          <w:sz w:val="36"/>
          <w:szCs w:val="36"/>
        </w:rPr>
        <w:t xml:space="preserve"> </w:t>
      </w:r>
      <w:r>
        <w:rPr>
          <w:rFonts w:ascii="黑体" w:hAnsi="黑体" w:eastAsia="黑体"/>
          <w:b/>
          <w:position w:val="16"/>
          <w:sz w:val="36"/>
          <w:szCs w:val="36"/>
        </w:rPr>
        <w:t>同</w:t>
      </w:r>
      <w:r>
        <w:rPr>
          <w:rFonts w:hint="eastAsia" w:ascii="黑体" w:hAnsi="黑体" w:eastAsia="黑体"/>
          <w:b/>
          <w:position w:val="16"/>
          <w:sz w:val="36"/>
          <w:szCs w:val="36"/>
        </w:rPr>
        <w:t>(模板)</w:t>
      </w:r>
    </w:p>
    <w:p>
      <w:pPr>
        <w:spacing w:line="440" w:lineRule="exact"/>
        <w:rPr>
          <w:rFonts w:hint="eastAsia" w:ascii="仿宋" w:hAnsi="仿宋" w:eastAsia="仿宋" w:cs="宋体"/>
          <w:b/>
          <w:kern w:val="0"/>
          <w:sz w:val="24"/>
        </w:rPr>
      </w:pPr>
    </w:p>
    <w:p>
      <w:pPr>
        <w:spacing w:line="440" w:lineRule="exact"/>
        <w:rPr>
          <w:rFonts w:ascii="仿宋" w:hAnsi="仿宋" w:eastAsia="仿宋" w:cs="宋体"/>
          <w:kern w:val="0"/>
          <w:sz w:val="24"/>
        </w:rPr>
      </w:pPr>
      <w:r>
        <w:rPr>
          <w:rFonts w:hint="eastAsia" w:ascii="仿宋" w:hAnsi="仿宋" w:eastAsia="仿宋" w:cs="宋体"/>
          <w:b/>
          <w:kern w:val="0"/>
          <w:sz w:val="24"/>
        </w:rPr>
        <w:t>签订地点</w:t>
      </w:r>
      <w:r>
        <w:rPr>
          <w:rFonts w:hint="eastAsia" w:ascii="仿宋" w:hAnsi="仿宋" w:eastAsia="仿宋" w:cs="宋体"/>
          <w:kern w:val="0"/>
          <w:sz w:val="24"/>
        </w:rPr>
        <w:t xml:space="preserve">：哈尔滨                             </w:t>
      </w:r>
      <w:r>
        <w:rPr>
          <w:rFonts w:hint="eastAsia" w:ascii="仿宋" w:hAnsi="仿宋" w:eastAsia="仿宋" w:cs="宋体"/>
          <w:b/>
          <w:kern w:val="0"/>
          <w:sz w:val="24"/>
        </w:rPr>
        <w:t>合同编号</w:t>
      </w:r>
      <w:r>
        <w:rPr>
          <w:rFonts w:hint="eastAsia" w:ascii="仿宋" w:hAnsi="仿宋" w:eastAsia="仿宋" w:cs="宋体"/>
          <w:kern w:val="0"/>
          <w:sz w:val="24"/>
        </w:rPr>
        <w:t>：</w:t>
      </w:r>
    </w:p>
    <w:p>
      <w:pPr>
        <w:widowControl/>
        <w:spacing w:line="440" w:lineRule="exact"/>
        <w:textAlignment w:val="center"/>
        <w:rPr>
          <w:rFonts w:ascii="仿宋" w:hAnsi="仿宋" w:eastAsia="仿宋" w:cs="楷体_GB2312"/>
          <w:kern w:val="0"/>
          <w:sz w:val="24"/>
        </w:rPr>
      </w:pPr>
      <w:r>
        <w:rPr>
          <w:rStyle w:val="38"/>
          <w:rFonts w:ascii="仿宋" w:hAnsi="仿宋" w:eastAsia="仿宋"/>
          <w:b/>
          <w:sz w:val="24"/>
        </w:rPr>
        <w:t>甲方</w:t>
      </w:r>
      <w:r>
        <w:rPr>
          <w:rStyle w:val="38"/>
          <w:rFonts w:ascii="仿宋" w:hAnsi="仿宋" w:eastAsia="仿宋"/>
          <w:sz w:val="24"/>
        </w:rPr>
        <w:t>：</w:t>
      </w:r>
      <w:r>
        <w:rPr>
          <w:rFonts w:ascii="仿宋" w:hAnsi="仿宋" w:eastAsia="仿宋" w:cs="楷体_GB2312"/>
          <w:kern w:val="0"/>
          <w:sz w:val="24"/>
        </w:rPr>
        <w:t>哈尔滨工程大学</w:t>
      </w:r>
      <w:r>
        <w:rPr>
          <w:rFonts w:hint="eastAsia" w:ascii="仿宋" w:hAnsi="仿宋" w:eastAsia="仿宋" w:cs="楷体_GB2312"/>
          <w:kern w:val="0"/>
          <w:sz w:val="24"/>
        </w:rPr>
        <w:t xml:space="preserve">                         </w:t>
      </w:r>
      <w:r>
        <w:rPr>
          <w:rFonts w:hint="eastAsia" w:ascii="仿宋" w:hAnsi="仿宋" w:eastAsia="仿宋" w:cs="宋体"/>
          <w:b/>
          <w:kern w:val="0"/>
          <w:sz w:val="24"/>
        </w:rPr>
        <w:t>乙方：</w:t>
      </w:r>
      <w:r>
        <w:rPr>
          <w:rFonts w:hint="eastAsia" w:ascii="仿宋" w:hAnsi="仿宋" w:eastAsia="仿宋" w:cs="楷体_GB2312"/>
          <w:kern w:val="0"/>
          <w:sz w:val="24"/>
        </w:rPr>
        <w:t>**************</w:t>
      </w:r>
    </w:p>
    <w:p>
      <w:pPr>
        <w:widowControl/>
        <w:spacing w:line="440" w:lineRule="exact"/>
        <w:textAlignment w:val="center"/>
        <w:rPr>
          <w:rFonts w:ascii="仿宋" w:hAnsi="仿宋" w:eastAsia="仿宋" w:cs="宋体"/>
          <w:b/>
          <w:sz w:val="24"/>
        </w:rPr>
      </w:pPr>
      <w:r>
        <w:rPr>
          <w:rStyle w:val="38"/>
          <w:rFonts w:ascii="仿宋" w:hAnsi="仿宋" w:eastAsia="仿宋"/>
          <w:b/>
          <w:sz w:val="24"/>
        </w:rPr>
        <w:t>地址</w:t>
      </w:r>
      <w:r>
        <w:rPr>
          <w:rStyle w:val="38"/>
          <w:rFonts w:ascii="仿宋" w:hAnsi="仿宋" w:eastAsia="仿宋"/>
          <w:sz w:val="24"/>
        </w:rPr>
        <w:t>：</w:t>
      </w:r>
      <w:r>
        <w:rPr>
          <w:rFonts w:ascii="仿宋" w:hAnsi="仿宋" w:eastAsia="仿宋" w:cs="楷体_GB2312"/>
          <w:kern w:val="0"/>
          <w:sz w:val="24"/>
        </w:rPr>
        <w:t>哈尔滨南岗区南通大街145号</w:t>
      </w:r>
      <w:r>
        <w:rPr>
          <w:rFonts w:hint="eastAsia" w:ascii="仿宋" w:hAnsi="仿宋" w:eastAsia="仿宋" w:cs="楷体_GB2312"/>
          <w:kern w:val="0"/>
          <w:sz w:val="24"/>
        </w:rPr>
        <w:t xml:space="preserve">             </w:t>
      </w:r>
      <w:r>
        <w:rPr>
          <w:rStyle w:val="38"/>
          <w:rFonts w:ascii="仿宋" w:hAnsi="仿宋" w:eastAsia="仿宋"/>
          <w:b/>
          <w:sz w:val="24"/>
        </w:rPr>
        <w:t>地址</w:t>
      </w:r>
      <w:r>
        <w:rPr>
          <w:rStyle w:val="38"/>
          <w:rFonts w:ascii="仿宋" w:hAnsi="仿宋" w:eastAsia="仿宋"/>
          <w:sz w:val="24"/>
        </w:rPr>
        <w:t>：</w:t>
      </w:r>
      <w:r>
        <w:rPr>
          <w:rFonts w:hint="eastAsia" w:ascii="仿宋" w:hAnsi="仿宋" w:eastAsia="仿宋" w:cs="楷体_GB2312"/>
          <w:kern w:val="0"/>
          <w:sz w:val="24"/>
        </w:rPr>
        <w:t>**************</w:t>
      </w:r>
      <w:r>
        <w:rPr>
          <w:rStyle w:val="38"/>
          <w:rFonts w:hint="eastAsia" w:ascii="仿宋" w:hAnsi="仿宋" w:eastAsia="仿宋"/>
          <w:sz w:val="24"/>
        </w:rPr>
        <w:t xml:space="preserve"> </w:t>
      </w:r>
    </w:p>
    <w:p>
      <w:pPr>
        <w:spacing w:line="440" w:lineRule="exact"/>
        <w:rPr>
          <w:rFonts w:ascii="仿宋" w:hAnsi="仿宋" w:eastAsia="仿宋" w:cs="楷体_GB2312"/>
          <w:kern w:val="0"/>
          <w:sz w:val="24"/>
        </w:rPr>
      </w:pPr>
      <w:r>
        <w:rPr>
          <w:rFonts w:hint="eastAsia" w:ascii="仿宋" w:hAnsi="仿宋" w:eastAsia="仿宋" w:cs="宋体"/>
          <w:b/>
          <w:kern w:val="0"/>
          <w:sz w:val="24"/>
        </w:rPr>
        <w:t>单位及电话：</w:t>
      </w:r>
      <w:r>
        <w:rPr>
          <w:rFonts w:hint="eastAsia" w:ascii="仿宋" w:hAnsi="仿宋" w:eastAsia="仿宋" w:cs="楷体_GB2312"/>
          <w:kern w:val="0"/>
          <w:sz w:val="24"/>
        </w:rPr>
        <w:t xml:space="preserve">****学院，                       </w:t>
      </w:r>
      <w:r>
        <w:rPr>
          <w:rFonts w:hint="eastAsia" w:ascii="仿宋" w:hAnsi="仿宋" w:eastAsia="仿宋" w:cs="宋体"/>
          <w:b/>
          <w:kern w:val="0"/>
          <w:sz w:val="24"/>
        </w:rPr>
        <w:t>电话：</w:t>
      </w:r>
      <w:r>
        <w:rPr>
          <w:rFonts w:hint="eastAsia" w:ascii="仿宋" w:hAnsi="仿宋" w:eastAsia="仿宋" w:cs="楷体_GB2312"/>
          <w:kern w:val="0"/>
          <w:sz w:val="24"/>
        </w:rPr>
        <w:t xml:space="preserve">******  </w:t>
      </w:r>
    </w:p>
    <w:p>
      <w:pPr>
        <w:pBdr>
          <w:bottom w:val="single" w:color="auto" w:sz="6" w:space="1"/>
        </w:pBdr>
        <w:spacing w:line="440" w:lineRule="exact"/>
        <w:rPr>
          <w:rFonts w:ascii="仿宋" w:hAnsi="仿宋" w:eastAsia="仿宋" w:cs="楷体_GB2312"/>
          <w:kern w:val="0"/>
          <w:sz w:val="24"/>
        </w:rPr>
      </w:pPr>
      <w:r>
        <w:rPr>
          <w:rFonts w:ascii="仿宋" w:hAnsi="仿宋" w:eastAsia="仿宋" w:cs="宋体"/>
          <w:b/>
          <w:kern w:val="0"/>
          <w:sz w:val="24"/>
        </w:rPr>
        <w:t>邮政编码:</w:t>
      </w:r>
      <w:r>
        <w:rPr>
          <w:rFonts w:ascii="仿宋" w:hAnsi="仿宋" w:eastAsia="仿宋"/>
          <w:kern w:val="0"/>
          <w:sz w:val="24"/>
        </w:rPr>
        <w:t xml:space="preserve"> 150001</w:t>
      </w:r>
      <w:r>
        <w:rPr>
          <w:rFonts w:hint="eastAsia" w:ascii="仿宋" w:hAnsi="仿宋" w:eastAsia="仿宋"/>
          <w:kern w:val="0"/>
          <w:sz w:val="24"/>
        </w:rPr>
        <w:t xml:space="preserve">                             </w:t>
      </w:r>
      <w:r>
        <w:rPr>
          <w:rFonts w:ascii="仿宋" w:hAnsi="仿宋" w:eastAsia="仿宋" w:cs="宋体"/>
          <w:b/>
          <w:kern w:val="0"/>
          <w:sz w:val="24"/>
        </w:rPr>
        <w:t>邮政编码</w:t>
      </w:r>
      <w:r>
        <w:rPr>
          <w:rFonts w:ascii="仿宋" w:hAnsi="仿宋" w:eastAsia="仿宋"/>
          <w:b/>
          <w:kern w:val="0"/>
          <w:sz w:val="24"/>
        </w:rPr>
        <w:t>:</w:t>
      </w:r>
      <w:r>
        <w:rPr>
          <w:rFonts w:hint="eastAsia" w:ascii="仿宋" w:hAnsi="仿宋" w:eastAsia="仿宋" w:cs="楷体_GB2312"/>
          <w:kern w:val="0"/>
          <w:sz w:val="24"/>
        </w:rPr>
        <w:t xml:space="preserve"> ******  </w:t>
      </w:r>
    </w:p>
    <w:p>
      <w:pPr>
        <w:rPr>
          <w:rFonts w:ascii="仿宋" w:hAnsi="仿宋" w:eastAsia="仿宋" w:cs="楷体_GB2312"/>
          <w:kern w:val="0"/>
          <w:sz w:val="24"/>
        </w:rPr>
      </w:pPr>
      <w:r>
        <w:rPr>
          <w:rFonts w:hint="eastAsia" w:ascii="仿宋" w:hAnsi="仿宋" w:eastAsia="仿宋" w:cs="楷体_GB2312"/>
          <w:kern w:val="0"/>
          <w:sz w:val="24"/>
        </w:rPr>
        <w:t xml:space="preserve">                  </w:t>
      </w:r>
    </w:p>
    <w:p>
      <w:pPr>
        <w:pStyle w:val="3"/>
        <w:suppressAutoHyphens/>
        <w:adjustRightInd w:val="0"/>
        <w:snapToGrid w:val="0"/>
        <w:spacing w:after="0" w:line="440" w:lineRule="exact"/>
        <w:ind w:right="106" w:rightChars="50" w:firstLine="484" w:firstLineChars="200"/>
        <w:rPr>
          <w:rFonts w:ascii="仿宋" w:hAnsi="仿宋" w:eastAsia="仿宋" w:cs="仿宋"/>
          <w:sz w:val="24"/>
        </w:rPr>
      </w:pPr>
      <w:r>
        <w:rPr>
          <w:rFonts w:hint="eastAsia" w:ascii="仿宋" w:hAnsi="仿宋" w:eastAsia="仿宋" w:cs="仿宋"/>
          <w:sz w:val="24"/>
        </w:rPr>
        <w:t>根据《中华人民共和国合同法》及其他有关法律、法规的规定，遵循平等、自愿、公平和诚实信用原则，甲、乙双方现就</w:t>
      </w:r>
      <w:r>
        <w:rPr>
          <w:rFonts w:hint="eastAsia" w:ascii="仿宋" w:hAnsi="仿宋" w:eastAsia="仿宋" w:cs="仿宋"/>
          <w:kern w:val="0"/>
          <w:sz w:val="24"/>
        </w:rPr>
        <w:t>********</w:t>
      </w:r>
      <w:r>
        <w:rPr>
          <w:rFonts w:hint="eastAsia" w:ascii="仿宋" w:hAnsi="仿宋" w:eastAsia="仿宋" w:cs="仿宋"/>
          <w:sz w:val="24"/>
        </w:rPr>
        <w:t>采购及服务事宜，经充分协商，同意按如下条款订立本合同：</w:t>
      </w:r>
    </w:p>
    <w:p>
      <w:pPr>
        <w:pStyle w:val="3"/>
        <w:suppressAutoHyphens/>
        <w:adjustRightInd w:val="0"/>
        <w:snapToGrid w:val="0"/>
        <w:spacing w:after="0" w:line="240" w:lineRule="atLeast"/>
      </w:pPr>
    </w:p>
    <w:p>
      <w:pPr>
        <w:pStyle w:val="3"/>
        <w:suppressAutoHyphens/>
        <w:adjustRightInd w:val="0"/>
        <w:snapToGrid w:val="0"/>
        <w:spacing w:after="0" w:line="240" w:lineRule="atLeast"/>
        <w:rPr>
          <w:rFonts w:ascii="仿宋" w:hAnsi="仿宋" w:eastAsia="仿宋" w:cs="仿宋"/>
          <w:sz w:val="24"/>
        </w:rPr>
      </w:pPr>
      <w:r>
        <w:rPr>
          <w:rFonts w:hint="eastAsia" w:ascii="仿宋" w:hAnsi="仿宋" w:eastAsia="仿宋" w:cs="仿宋"/>
          <w:b/>
          <w:kern w:val="0"/>
          <w:sz w:val="24"/>
        </w:rPr>
        <w:t>第一条 合同内容：</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410"/>
        <w:gridCol w:w="1134"/>
        <w:gridCol w:w="1417"/>
        <w:gridCol w:w="1276"/>
        <w:gridCol w:w="936"/>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17" w:type="dxa"/>
            <w:noWrap w:val="0"/>
            <w:vAlign w:val="center"/>
          </w:tcPr>
          <w:p>
            <w:pPr>
              <w:widowControl/>
              <w:suppressAutoHyphens/>
              <w:spacing w:line="240" w:lineRule="atLeast"/>
              <w:jc w:val="center"/>
              <w:rPr>
                <w:rFonts w:ascii="仿宋" w:hAnsi="仿宋" w:eastAsia="仿宋" w:cs="仿宋"/>
                <w:kern w:val="0"/>
                <w:sz w:val="24"/>
              </w:rPr>
            </w:pPr>
            <w:r>
              <w:rPr>
                <w:rFonts w:hint="eastAsia" w:ascii="仿宋" w:hAnsi="仿宋" w:eastAsia="仿宋" w:cs="仿宋"/>
                <w:kern w:val="0"/>
                <w:sz w:val="24"/>
                <w:szCs w:val="24"/>
              </w:rPr>
              <w:t>序号</w:t>
            </w:r>
          </w:p>
        </w:tc>
        <w:tc>
          <w:tcPr>
            <w:tcW w:w="2410" w:type="dxa"/>
            <w:noWrap w:val="0"/>
            <w:vAlign w:val="center"/>
          </w:tcPr>
          <w:p>
            <w:pPr>
              <w:widowControl/>
              <w:suppressAutoHyphens/>
              <w:spacing w:line="240" w:lineRule="atLeast"/>
              <w:jc w:val="center"/>
              <w:rPr>
                <w:rFonts w:ascii="仿宋" w:hAnsi="仿宋" w:eastAsia="仿宋" w:cs="仿宋"/>
                <w:kern w:val="0"/>
                <w:sz w:val="24"/>
              </w:rPr>
            </w:pPr>
            <w:r>
              <w:rPr>
                <w:rFonts w:hint="eastAsia" w:ascii="仿宋" w:hAnsi="仿宋" w:eastAsia="仿宋" w:cs="仿宋"/>
                <w:kern w:val="0"/>
                <w:sz w:val="24"/>
                <w:szCs w:val="24"/>
              </w:rPr>
              <w:t>货物名称</w:t>
            </w:r>
          </w:p>
        </w:tc>
        <w:tc>
          <w:tcPr>
            <w:tcW w:w="1134" w:type="dxa"/>
            <w:noWrap w:val="0"/>
            <w:vAlign w:val="center"/>
          </w:tcPr>
          <w:p>
            <w:pPr>
              <w:widowControl/>
              <w:suppressAutoHyphens/>
              <w:spacing w:line="240" w:lineRule="atLeast"/>
              <w:jc w:val="center"/>
              <w:rPr>
                <w:rFonts w:ascii="仿宋" w:hAnsi="仿宋" w:eastAsia="仿宋" w:cs="仿宋"/>
                <w:kern w:val="0"/>
                <w:sz w:val="24"/>
              </w:rPr>
            </w:pPr>
            <w:r>
              <w:rPr>
                <w:rFonts w:hint="eastAsia" w:ascii="仿宋" w:hAnsi="仿宋" w:eastAsia="仿宋" w:cs="仿宋"/>
                <w:kern w:val="0"/>
                <w:sz w:val="24"/>
                <w:szCs w:val="24"/>
              </w:rPr>
              <w:t>品牌</w:t>
            </w:r>
          </w:p>
          <w:p>
            <w:pPr>
              <w:widowControl/>
              <w:suppressAutoHyphens/>
              <w:spacing w:line="240" w:lineRule="atLeast"/>
              <w:jc w:val="center"/>
              <w:rPr>
                <w:rFonts w:ascii="仿宋" w:hAnsi="仿宋" w:eastAsia="仿宋" w:cs="仿宋"/>
                <w:kern w:val="0"/>
                <w:sz w:val="24"/>
              </w:rPr>
            </w:pPr>
            <w:r>
              <w:rPr>
                <w:rFonts w:hint="eastAsia" w:ascii="仿宋" w:hAnsi="仿宋" w:eastAsia="仿宋" w:cs="仿宋"/>
                <w:kern w:val="0"/>
                <w:sz w:val="24"/>
                <w:szCs w:val="24"/>
              </w:rPr>
              <w:t>型号</w:t>
            </w:r>
          </w:p>
        </w:tc>
        <w:tc>
          <w:tcPr>
            <w:tcW w:w="1417" w:type="dxa"/>
            <w:noWrap w:val="0"/>
            <w:vAlign w:val="center"/>
          </w:tcPr>
          <w:p>
            <w:pPr>
              <w:widowControl/>
              <w:suppressAutoHyphens/>
              <w:spacing w:line="240" w:lineRule="atLeast"/>
              <w:jc w:val="center"/>
              <w:rPr>
                <w:rFonts w:ascii="仿宋" w:hAnsi="仿宋" w:eastAsia="仿宋" w:cs="仿宋"/>
                <w:kern w:val="0"/>
                <w:sz w:val="24"/>
                <w:szCs w:val="24"/>
              </w:rPr>
            </w:pPr>
            <w:r>
              <w:rPr>
                <w:rFonts w:hint="eastAsia" w:ascii="仿宋" w:hAnsi="仿宋" w:eastAsia="仿宋" w:cs="仿宋"/>
                <w:kern w:val="0"/>
                <w:sz w:val="24"/>
                <w:szCs w:val="24"/>
              </w:rPr>
              <w:t>主要性能</w:t>
            </w:r>
          </w:p>
          <w:p>
            <w:pPr>
              <w:widowControl/>
              <w:suppressAutoHyphens/>
              <w:spacing w:line="240" w:lineRule="atLeast"/>
              <w:jc w:val="center"/>
              <w:rPr>
                <w:rFonts w:ascii="仿宋" w:hAnsi="仿宋" w:eastAsia="仿宋" w:cs="仿宋"/>
                <w:kern w:val="0"/>
                <w:sz w:val="24"/>
              </w:rPr>
            </w:pPr>
            <w:r>
              <w:rPr>
                <w:rFonts w:hint="eastAsia" w:ascii="仿宋" w:hAnsi="仿宋" w:eastAsia="仿宋" w:cs="仿宋"/>
                <w:kern w:val="0"/>
                <w:sz w:val="24"/>
                <w:szCs w:val="24"/>
              </w:rPr>
              <w:t>指标</w:t>
            </w:r>
          </w:p>
        </w:tc>
        <w:tc>
          <w:tcPr>
            <w:tcW w:w="1276" w:type="dxa"/>
            <w:noWrap w:val="0"/>
            <w:vAlign w:val="center"/>
          </w:tcPr>
          <w:p>
            <w:pPr>
              <w:widowControl/>
              <w:suppressAutoHyphens/>
              <w:spacing w:line="240" w:lineRule="atLeast"/>
              <w:jc w:val="center"/>
              <w:rPr>
                <w:rFonts w:ascii="仿宋" w:hAnsi="仿宋" w:eastAsia="仿宋" w:cs="仿宋"/>
                <w:kern w:val="0"/>
                <w:sz w:val="24"/>
              </w:rPr>
            </w:pPr>
            <w:r>
              <w:rPr>
                <w:rFonts w:hint="eastAsia" w:ascii="仿宋" w:hAnsi="仿宋" w:eastAsia="仿宋" w:cs="仿宋"/>
                <w:kern w:val="0"/>
                <w:sz w:val="24"/>
                <w:szCs w:val="24"/>
              </w:rPr>
              <w:t>数量</w:t>
            </w:r>
          </w:p>
        </w:tc>
        <w:tc>
          <w:tcPr>
            <w:tcW w:w="936" w:type="dxa"/>
            <w:noWrap w:val="0"/>
            <w:vAlign w:val="center"/>
          </w:tcPr>
          <w:p>
            <w:pPr>
              <w:widowControl/>
              <w:suppressAutoHyphens/>
              <w:spacing w:line="240" w:lineRule="atLeast"/>
              <w:jc w:val="center"/>
              <w:rPr>
                <w:rFonts w:ascii="仿宋" w:hAnsi="仿宋" w:eastAsia="仿宋" w:cs="仿宋"/>
                <w:kern w:val="0"/>
                <w:sz w:val="24"/>
              </w:rPr>
            </w:pPr>
            <w:r>
              <w:rPr>
                <w:rFonts w:hint="eastAsia" w:ascii="仿宋" w:hAnsi="仿宋" w:eastAsia="仿宋" w:cs="仿宋"/>
                <w:kern w:val="0"/>
                <w:sz w:val="24"/>
                <w:szCs w:val="24"/>
              </w:rPr>
              <w:t>单价</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（元）</w:t>
            </w:r>
          </w:p>
        </w:tc>
        <w:tc>
          <w:tcPr>
            <w:tcW w:w="1296" w:type="dxa"/>
            <w:noWrap w:val="0"/>
            <w:vAlign w:val="center"/>
          </w:tcPr>
          <w:p>
            <w:pPr>
              <w:widowControl/>
              <w:suppressAutoHyphens/>
              <w:spacing w:line="240" w:lineRule="atLeast"/>
              <w:jc w:val="center"/>
              <w:rPr>
                <w:rFonts w:ascii="仿宋" w:hAnsi="仿宋" w:eastAsia="仿宋" w:cs="仿宋"/>
                <w:kern w:val="0"/>
                <w:sz w:val="24"/>
              </w:rPr>
            </w:pPr>
            <w:r>
              <w:rPr>
                <w:rFonts w:hint="eastAsia" w:ascii="仿宋" w:hAnsi="仿宋" w:eastAsia="仿宋" w:cs="仿宋"/>
                <w:kern w:val="0"/>
                <w:sz w:val="24"/>
                <w:szCs w:val="24"/>
              </w:rPr>
              <w:t>金额</w:t>
            </w:r>
            <w:r>
              <w:rPr>
                <w:rFonts w:hint="eastAsia" w:ascii="仿宋" w:hAnsi="仿宋" w:eastAsia="仿宋" w:cs="仿宋"/>
                <w:kern w:val="0"/>
                <w:sz w:val="24"/>
                <w:szCs w:val="24"/>
              </w:rPr>
              <w:br w:type="textWrapping"/>
            </w:r>
            <w:r>
              <w:rPr>
                <w:rFonts w:hint="eastAsia" w:ascii="仿宋" w:hAnsi="仿宋" w:eastAsia="仿宋" w:cs="仿宋"/>
                <w:kern w:val="0"/>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7" w:type="dxa"/>
            <w:noWrap w:val="0"/>
            <w:vAlign w:val="center"/>
          </w:tcPr>
          <w:p>
            <w:pPr>
              <w:spacing w:line="240" w:lineRule="atLeast"/>
            </w:pPr>
          </w:p>
        </w:tc>
        <w:tc>
          <w:tcPr>
            <w:tcW w:w="2410" w:type="dxa"/>
            <w:noWrap w:val="0"/>
            <w:vAlign w:val="center"/>
          </w:tcPr>
          <w:p>
            <w:pPr>
              <w:spacing w:line="240" w:lineRule="atLeast"/>
            </w:pPr>
          </w:p>
        </w:tc>
        <w:tc>
          <w:tcPr>
            <w:tcW w:w="1134" w:type="dxa"/>
            <w:noWrap w:val="0"/>
            <w:vAlign w:val="center"/>
          </w:tcPr>
          <w:p>
            <w:pPr>
              <w:spacing w:line="240" w:lineRule="atLeast"/>
            </w:pPr>
          </w:p>
        </w:tc>
        <w:tc>
          <w:tcPr>
            <w:tcW w:w="1417" w:type="dxa"/>
            <w:noWrap w:val="0"/>
            <w:vAlign w:val="center"/>
          </w:tcPr>
          <w:p>
            <w:pPr>
              <w:spacing w:line="240" w:lineRule="atLeast"/>
            </w:pPr>
          </w:p>
        </w:tc>
        <w:tc>
          <w:tcPr>
            <w:tcW w:w="1276" w:type="dxa"/>
            <w:noWrap w:val="0"/>
            <w:vAlign w:val="center"/>
          </w:tcPr>
          <w:p>
            <w:pPr>
              <w:spacing w:line="240" w:lineRule="atLeast"/>
            </w:pPr>
          </w:p>
        </w:tc>
        <w:tc>
          <w:tcPr>
            <w:tcW w:w="936" w:type="dxa"/>
            <w:noWrap w:val="0"/>
            <w:vAlign w:val="center"/>
          </w:tcPr>
          <w:p>
            <w:pPr>
              <w:spacing w:line="240" w:lineRule="atLeast"/>
            </w:pPr>
          </w:p>
        </w:tc>
        <w:tc>
          <w:tcPr>
            <w:tcW w:w="1296" w:type="dxa"/>
            <w:noWrap w:val="0"/>
            <w:vAlign w:val="center"/>
          </w:tcPr>
          <w:p>
            <w:pPr>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7" w:type="dxa"/>
            <w:noWrap w:val="0"/>
            <w:vAlign w:val="center"/>
          </w:tcPr>
          <w:p>
            <w:pPr>
              <w:spacing w:line="240" w:lineRule="atLeast"/>
            </w:pPr>
          </w:p>
        </w:tc>
        <w:tc>
          <w:tcPr>
            <w:tcW w:w="2410" w:type="dxa"/>
            <w:noWrap w:val="0"/>
            <w:vAlign w:val="center"/>
          </w:tcPr>
          <w:p>
            <w:pPr>
              <w:spacing w:line="240" w:lineRule="atLeast"/>
            </w:pPr>
          </w:p>
        </w:tc>
        <w:tc>
          <w:tcPr>
            <w:tcW w:w="1134" w:type="dxa"/>
            <w:noWrap w:val="0"/>
            <w:vAlign w:val="center"/>
          </w:tcPr>
          <w:p>
            <w:pPr>
              <w:spacing w:line="240" w:lineRule="atLeast"/>
            </w:pPr>
          </w:p>
        </w:tc>
        <w:tc>
          <w:tcPr>
            <w:tcW w:w="1417" w:type="dxa"/>
            <w:noWrap w:val="0"/>
            <w:vAlign w:val="center"/>
          </w:tcPr>
          <w:p>
            <w:pPr>
              <w:spacing w:line="240" w:lineRule="atLeast"/>
            </w:pPr>
          </w:p>
        </w:tc>
        <w:tc>
          <w:tcPr>
            <w:tcW w:w="1276" w:type="dxa"/>
            <w:noWrap w:val="0"/>
            <w:vAlign w:val="center"/>
          </w:tcPr>
          <w:p>
            <w:pPr>
              <w:spacing w:line="240" w:lineRule="atLeast"/>
            </w:pPr>
          </w:p>
        </w:tc>
        <w:tc>
          <w:tcPr>
            <w:tcW w:w="936" w:type="dxa"/>
            <w:noWrap w:val="0"/>
            <w:vAlign w:val="center"/>
          </w:tcPr>
          <w:p>
            <w:pPr>
              <w:spacing w:line="240" w:lineRule="atLeast"/>
            </w:pPr>
          </w:p>
        </w:tc>
        <w:tc>
          <w:tcPr>
            <w:tcW w:w="1296" w:type="dxa"/>
            <w:noWrap w:val="0"/>
            <w:vAlign w:val="center"/>
          </w:tcPr>
          <w:p>
            <w:pPr>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817" w:type="dxa"/>
            <w:noWrap w:val="0"/>
            <w:vAlign w:val="center"/>
          </w:tcPr>
          <w:p>
            <w:pPr>
              <w:spacing w:line="240" w:lineRule="atLeast"/>
            </w:pPr>
          </w:p>
        </w:tc>
        <w:tc>
          <w:tcPr>
            <w:tcW w:w="2410" w:type="dxa"/>
            <w:noWrap w:val="0"/>
            <w:vAlign w:val="center"/>
          </w:tcPr>
          <w:p>
            <w:pPr>
              <w:spacing w:line="240" w:lineRule="atLeast"/>
            </w:pPr>
          </w:p>
        </w:tc>
        <w:tc>
          <w:tcPr>
            <w:tcW w:w="1134" w:type="dxa"/>
            <w:noWrap w:val="0"/>
            <w:vAlign w:val="center"/>
          </w:tcPr>
          <w:p>
            <w:pPr>
              <w:spacing w:line="240" w:lineRule="atLeast"/>
            </w:pPr>
          </w:p>
        </w:tc>
        <w:tc>
          <w:tcPr>
            <w:tcW w:w="1417" w:type="dxa"/>
            <w:noWrap w:val="0"/>
            <w:vAlign w:val="center"/>
          </w:tcPr>
          <w:p>
            <w:pPr>
              <w:spacing w:line="240" w:lineRule="atLeast"/>
            </w:pPr>
          </w:p>
        </w:tc>
        <w:tc>
          <w:tcPr>
            <w:tcW w:w="1276" w:type="dxa"/>
            <w:noWrap w:val="0"/>
            <w:vAlign w:val="center"/>
          </w:tcPr>
          <w:p>
            <w:pPr>
              <w:spacing w:line="240" w:lineRule="atLeast"/>
            </w:pPr>
          </w:p>
        </w:tc>
        <w:tc>
          <w:tcPr>
            <w:tcW w:w="936" w:type="dxa"/>
            <w:noWrap w:val="0"/>
            <w:vAlign w:val="center"/>
          </w:tcPr>
          <w:p>
            <w:pPr>
              <w:spacing w:line="240" w:lineRule="atLeast"/>
            </w:pPr>
          </w:p>
        </w:tc>
        <w:tc>
          <w:tcPr>
            <w:tcW w:w="1296" w:type="dxa"/>
            <w:noWrap w:val="0"/>
            <w:vAlign w:val="center"/>
          </w:tcPr>
          <w:p>
            <w:pPr>
              <w:spacing w:line="240" w:lineRule="atLeas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9286" w:type="dxa"/>
            <w:gridSpan w:val="7"/>
            <w:noWrap w:val="0"/>
            <w:vAlign w:val="center"/>
          </w:tcPr>
          <w:p>
            <w:pPr>
              <w:spacing w:line="240" w:lineRule="atLeast"/>
            </w:pPr>
            <w:r>
              <w:rPr>
                <w:rFonts w:hint="eastAsia" w:ascii="仿宋" w:hAnsi="仿宋" w:eastAsia="仿宋" w:cs="仿宋"/>
                <w:kern w:val="0"/>
                <w:sz w:val="24"/>
                <w:szCs w:val="24"/>
              </w:rPr>
              <w:t>合计人民币金额（大写）：                          （小写）：            元</w:t>
            </w:r>
          </w:p>
        </w:tc>
      </w:tr>
    </w:tbl>
    <w:p>
      <w:pPr>
        <w:pStyle w:val="3"/>
        <w:suppressAutoHyphens/>
        <w:adjustRightInd w:val="0"/>
        <w:snapToGrid w:val="0"/>
        <w:spacing w:after="0" w:line="240" w:lineRule="atLeast"/>
      </w:pPr>
    </w:p>
    <w:p>
      <w:pPr>
        <w:pStyle w:val="3"/>
        <w:suppressAutoHyphens/>
        <w:adjustRightInd w:val="0"/>
        <w:snapToGrid w:val="0"/>
        <w:spacing w:after="0" w:line="240" w:lineRule="atLeast"/>
        <w:rPr>
          <w:rFonts w:ascii="仿宋" w:hAnsi="仿宋" w:eastAsia="仿宋" w:cs="仿宋"/>
          <w:b/>
          <w:kern w:val="0"/>
          <w:sz w:val="24"/>
        </w:rPr>
      </w:pPr>
      <w:r>
        <w:rPr>
          <w:rFonts w:hint="eastAsia" w:ascii="仿宋" w:hAnsi="仿宋" w:eastAsia="仿宋" w:cs="仿宋"/>
          <w:b/>
          <w:kern w:val="0"/>
          <w:sz w:val="24"/>
        </w:rPr>
        <w:t>第二条 合同价款：</w:t>
      </w:r>
    </w:p>
    <w:p>
      <w:pPr>
        <w:pStyle w:val="3"/>
        <w:suppressAutoHyphens/>
        <w:adjustRightInd w:val="0"/>
        <w:snapToGrid w:val="0"/>
        <w:spacing w:after="0" w:line="240" w:lineRule="atLeast"/>
        <w:ind w:firstLine="484" w:firstLineChars="200"/>
        <w:rPr>
          <w:rFonts w:ascii="仿宋" w:hAnsi="仿宋" w:eastAsia="仿宋" w:cs="仿宋"/>
          <w:sz w:val="24"/>
        </w:rPr>
      </w:pPr>
      <w:r>
        <w:rPr>
          <w:rFonts w:hint="eastAsia" w:ascii="仿宋" w:hAnsi="仿宋" w:eastAsia="仿宋" w:cs="仿宋"/>
          <w:sz w:val="24"/>
        </w:rPr>
        <w:t>合同总价款为人民币   圆整（¥   ）。本合同总价款包括供货、安装、调试、保修、售后服务及将货物运至指定地点所发生的运费、装卸费等货物伴随服务的费用和所需缴纳的一切相关税、费。</w:t>
      </w:r>
    </w:p>
    <w:p>
      <w:pPr>
        <w:pStyle w:val="3"/>
        <w:suppressAutoHyphens/>
        <w:adjustRightInd w:val="0"/>
        <w:snapToGrid w:val="0"/>
        <w:spacing w:after="0" w:line="240" w:lineRule="atLeast"/>
        <w:rPr>
          <w:rFonts w:ascii="仿宋" w:hAnsi="仿宋" w:eastAsia="仿宋" w:cs="仿宋"/>
          <w:sz w:val="24"/>
        </w:rPr>
      </w:pPr>
    </w:p>
    <w:p>
      <w:pPr>
        <w:widowControl/>
        <w:suppressAutoHyphens/>
        <w:spacing w:line="240" w:lineRule="atLeast"/>
        <w:textAlignment w:val="center"/>
        <w:rPr>
          <w:rFonts w:ascii="仿宋" w:hAnsi="仿宋" w:eastAsia="仿宋" w:cs="仿宋"/>
          <w:b/>
          <w:kern w:val="0"/>
          <w:sz w:val="24"/>
        </w:rPr>
      </w:pPr>
      <w:r>
        <w:rPr>
          <w:rFonts w:hint="eastAsia" w:ascii="仿宋" w:hAnsi="仿宋" w:eastAsia="仿宋" w:cs="仿宋"/>
          <w:b/>
          <w:kern w:val="0"/>
          <w:sz w:val="24"/>
          <w:szCs w:val="24"/>
        </w:rPr>
        <w:t>第三条 货物交付时间、方式、地点和费用：</w:t>
      </w:r>
    </w:p>
    <w:p>
      <w:pPr>
        <w:spacing w:line="240" w:lineRule="atLeast"/>
        <w:ind w:firstLine="484" w:firstLineChars="200"/>
        <w:rPr>
          <w:rFonts w:ascii="仿宋" w:hAnsi="仿宋" w:eastAsia="仿宋" w:cs="仿宋"/>
          <w:kern w:val="0"/>
          <w:sz w:val="24"/>
          <w:szCs w:val="24"/>
        </w:rPr>
      </w:pPr>
      <w:r>
        <w:rPr>
          <w:rFonts w:hint="eastAsia" w:ascii="仿宋" w:hAnsi="仿宋" w:eastAsia="仿宋" w:cs="仿宋"/>
          <w:kern w:val="0"/>
          <w:sz w:val="24"/>
          <w:szCs w:val="24"/>
        </w:rPr>
        <w:t>全部货物于****年**月**日前运到哈尔滨工程大学校内指定位置并安装调试完毕，费用由卖方负担（含供货、安装、调试、培训及税金等一切费用）。</w:t>
      </w:r>
    </w:p>
    <w:p>
      <w:pPr>
        <w:widowControl/>
        <w:suppressAutoHyphens/>
        <w:spacing w:line="240" w:lineRule="atLeast"/>
        <w:textAlignment w:val="center"/>
        <w:rPr>
          <w:rFonts w:ascii="仿宋" w:hAnsi="仿宋" w:eastAsia="仿宋" w:cs="仿宋"/>
          <w:b/>
          <w:bCs/>
          <w:sz w:val="24"/>
          <w:szCs w:val="24"/>
        </w:rPr>
      </w:pPr>
    </w:p>
    <w:p>
      <w:pPr>
        <w:widowControl/>
        <w:suppressAutoHyphens/>
        <w:spacing w:line="240" w:lineRule="atLeast"/>
        <w:textAlignment w:val="center"/>
        <w:rPr>
          <w:rFonts w:ascii="仿宋" w:hAnsi="仿宋" w:eastAsia="仿宋" w:cs="仿宋"/>
          <w:b/>
          <w:bCs/>
          <w:sz w:val="24"/>
        </w:rPr>
      </w:pPr>
      <w:r>
        <w:rPr>
          <w:rFonts w:hint="eastAsia" w:ascii="仿宋" w:hAnsi="仿宋" w:eastAsia="仿宋" w:cs="仿宋"/>
          <w:b/>
          <w:bCs/>
          <w:sz w:val="24"/>
          <w:szCs w:val="24"/>
        </w:rPr>
        <w:t>第四条 质量标准：</w:t>
      </w:r>
    </w:p>
    <w:p>
      <w:pPr>
        <w:spacing w:line="240" w:lineRule="atLeast"/>
        <w:ind w:firstLine="484" w:firstLineChars="200"/>
        <w:rPr>
          <w:rFonts w:ascii="仿宋" w:hAnsi="仿宋" w:eastAsia="仿宋" w:cs="仿宋"/>
          <w:sz w:val="24"/>
          <w:szCs w:val="24"/>
        </w:rPr>
      </w:pPr>
      <w:r>
        <w:rPr>
          <w:rFonts w:hint="eastAsia" w:ascii="仿宋" w:hAnsi="仿宋" w:eastAsia="仿宋" w:cs="仿宋"/>
          <w:sz w:val="24"/>
          <w:szCs w:val="24"/>
        </w:rPr>
        <w:t>乙方保证提供的货物皆为符合国家标准的正品合格产品，且承诺为甲方提供符合或高于国家标准及采购文件要求的服务，且若该货物在投标货物生产厂商中国总部对外公众网站上具有标准配置和服务的，乙方为甲方提供的产品及服务符合或高于其标准。</w:t>
      </w:r>
    </w:p>
    <w:p>
      <w:pPr>
        <w:spacing w:line="240" w:lineRule="atLeast"/>
        <w:rPr>
          <w:rFonts w:ascii="仿宋" w:hAnsi="仿宋" w:eastAsia="仿宋" w:cs="仿宋"/>
          <w:sz w:val="24"/>
          <w:szCs w:val="24"/>
        </w:rPr>
      </w:pPr>
    </w:p>
    <w:p>
      <w:pPr>
        <w:suppressAutoHyphens/>
        <w:snapToGrid w:val="0"/>
        <w:spacing w:line="240" w:lineRule="atLeast"/>
        <w:rPr>
          <w:rFonts w:ascii="仿宋" w:hAnsi="仿宋" w:eastAsia="仿宋" w:cs="仿宋"/>
          <w:sz w:val="24"/>
        </w:rPr>
      </w:pPr>
      <w:r>
        <w:rPr>
          <w:rFonts w:hint="eastAsia" w:ascii="仿宋" w:hAnsi="仿宋" w:eastAsia="仿宋" w:cs="仿宋"/>
          <w:b/>
          <w:kern w:val="0"/>
          <w:sz w:val="24"/>
          <w:szCs w:val="24"/>
        </w:rPr>
        <w:t>第五条 质保及维修：</w:t>
      </w:r>
    </w:p>
    <w:p>
      <w:pPr>
        <w:widowControl/>
        <w:suppressAutoHyphens/>
        <w:spacing w:line="240" w:lineRule="atLeast"/>
        <w:ind w:firstLine="484" w:firstLineChars="200"/>
        <w:textAlignment w:val="center"/>
        <w:rPr>
          <w:rFonts w:ascii="仿宋" w:hAnsi="仿宋" w:eastAsia="仿宋" w:cs="仿宋"/>
          <w:kern w:val="0"/>
          <w:sz w:val="24"/>
        </w:rPr>
      </w:pPr>
      <w:r>
        <w:rPr>
          <w:rFonts w:hint="eastAsia" w:ascii="仿宋" w:hAnsi="仿宋" w:eastAsia="仿宋" w:cs="仿宋"/>
          <w:kern w:val="0"/>
          <w:sz w:val="24"/>
          <w:szCs w:val="24"/>
        </w:rPr>
        <w:t>质保期**年（从验收合格之日算起）。质保期过后终身维修，维修只收成本费。</w:t>
      </w:r>
    </w:p>
    <w:p>
      <w:pPr>
        <w:spacing w:line="240" w:lineRule="atLeast"/>
        <w:rPr>
          <w:rFonts w:ascii="仿宋" w:hAnsi="仿宋" w:eastAsia="仿宋" w:cs="仿宋"/>
          <w:kern w:val="0"/>
          <w:sz w:val="24"/>
          <w:szCs w:val="24"/>
        </w:rPr>
      </w:pPr>
      <w:r>
        <w:rPr>
          <w:rFonts w:hint="eastAsia" w:ascii="仿宋" w:hAnsi="仿宋" w:eastAsia="仿宋" w:cs="仿宋"/>
          <w:kern w:val="0"/>
          <w:sz w:val="24"/>
          <w:szCs w:val="24"/>
        </w:rPr>
        <w:t>服务响应时间**小时。</w:t>
      </w:r>
    </w:p>
    <w:p>
      <w:pPr>
        <w:spacing w:line="240" w:lineRule="atLeast"/>
        <w:rPr>
          <w:rFonts w:ascii="仿宋" w:hAnsi="仿宋" w:eastAsia="仿宋" w:cs="仿宋"/>
          <w:kern w:val="0"/>
          <w:sz w:val="24"/>
          <w:szCs w:val="24"/>
        </w:rPr>
      </w:pPr>
    </w:p>
    <w:p>
      <w:pPr>
        <w:widowControl/>
        <w:suppressAutoHyphens/>
        <w:spacing w:before="156" w:beforeLines="50" w:line="320" w:lineRule="exact"/>
        <w:textAlignment w:val="center"/>
        <w:rPr>
          <w:rFonts w:ascii="仿宋" w:hAnsi="仿宋" w:eastAsia="仿宋" w:cs="仿宋"/>
          <w:b/>
          <w:kern w:val="0"/>
          <w:sz w:val="24"/>
        </w:rPr>
      </w:pPr>
      <w:r>
        <w:rPr>
          <w:rFonts w:ascii="仿宋" w:hAnsi="仿宋" w:eastAsia="仿宋" w:cs="仿宋"/>
          <w:b/>
          <w:kern w:val="0"/>
          <w:sz w:val="24"/>
          <w:szCs w:val="24"/>
        </w:rPr>
        <w:t>第六条</w:t>
      </w:r>
      <w:r>
        <w:rPr>
          <w:rFonts w:hint="eastAsia" w:ascii="仿宋" w:hAnsi="仿宋" w:eastAsia="仿宋" w:cs="仿宋"/>
          <w:b/>
          <w:kern w:val="0"/>
          <w:sz w:val="24"/>
          <w:szCs w:val="24"/>
        </w:rPr>
        <w:t xml:space="preserve"> 随机备品及配件的供应：</w:t>
      </w:r>
    </w:p>
    <w:p>
      <w:pPr>
        <w:spacing w:line="240" w:lineRule="atLeast"/>
        <w:ind w:firstLine="484" w:firstLineChars="200"/>
        <w:rPr>
          <w:rFonts w:ascii="仿宋" w:hAnsi="仿宋" w:eastAsia="仿宋" w:cs="仿宋"/>
          <w:kern w:val="0"/>
          <w:sz w:val="24"/>
          <w:szCs w:val="24"/>
        </w:rPr>
      </w:pPr>
      <w:r>
        <w:rPr>
          <w:rFonts w:hint="eastAsia" w:ascii="仿宋" w:hAnsi="仿宋" w:eastAsia="仿宋" w:cs="仿宋"/>
          <w:kern w:val="0"/>
          <w:sz w:val="24"/>
          <w:szCs w:val="24"/>
        </w:rPr>
        <w:t>卖方按原包供应。</w:t>
      </w:r>
    </w:p>
    <w:p>
      <w:pPr>
        <w:widowControl/>
        <w:suppressAutoHyphens/>
        <w:spacing w:before="156" w:beforeLines="50" w:line="320" w:lineRule="exact"/>
        <w:textAlignment w:val="center"/>
        <w:rPr>
          <w:rFonts w:ascii="仿宋" w:hAnsi="仿宋" w:eastAsia="仿宋" w:cs="仿宋"/>
          <w:b/>
          <w:kern w:val="0"/>
          <w:sz w:val="24"/>
        </w:rPr>
      </w:pPr>
      <w:r>
        <w:rPr>
          <w:rFonts w:hint="eastAsia" w:ascii="仿宋" w:hAnsi="仿宋" w:eastAsia="仿宋" w:cs="仿宋"/>
          <w:b/>
          <w:kern w:val="0"/>
          <w:sz w:val="24"/>
          <w:szCs w:val="24"/>
        </w:rPr>
        <w:t>第七条 验收标准：</w:t>
      </w:r>
    </w:p>
    <w:p>
      <w:pPr>
        <w:spacing w:line="240" w:lineRule="atLeast"/>
        <w:ind w:firstLine="484" w:firstLineChars="200"/>
        <w:rPr>
          <w:rFonts w:ascii="仿宋" w:hAnsi="仿宋" w:eastAsia="仿宋" w:cs="仿宋"/>
          <w:kern w:val="0"/>
          <w:sz w:val="24"/>
          <w:szCs w:val="24"/>
        </w:rPr>
      </w:pPr>
      <w:r>
        <w:rPr>
          <w:rFonts w:hint="eastAsia" w:ascii="仿宋" w:hAnsi="仿宋" w:eastAsia="仿宋" w:cs="仿宋"/>
          <w:kern w:val="0"/>
          <w:sz w:val="24"/>
          <w:szCs w:val="24"/>
        </w:rPr>
        <w:t>在交货地现场，当场拆包，检验所有配置是否为原厂原包，若非原厂原包，拒付货款。货物须同时完全符合下列各项标准及要求方为合格：装箱单、质量合格证书、保修证书、产品使用说明书及其它应当随箱的技术资料（包括但不限于）；报价要约中涉及质量、技术、服务、鉴定、检验及验收的全部相关内容或其所指引的内容。</w:t>
      </w:r>
    </w:p>
    <w:p>
      <w:pPr>
        <w:spacing w:line="240" w:lineRule="atLeast"/>
        <w:ind w:firstLine="484" w:firstLineChars="200"/>
        <w:rPr>
          <w:rFonts w:ascii="仿宋" w:hAnsi="仿宋" w:eastAsia="仿宋" w:cs="仿宋"/>
          <w:kern w:val="0"/>
          <w:sz w:val="24"/>
          <w:szCs w:val="24"/>
        </w:rPr>
      </w:pPr>
    </w:p>
    <w:p>
      <w:pPr>
        <w:spacing w:line="240" w:lineRule="atLeast"/>
        <w:rPr>
          <w:rFonts w:ascii="仿宋" w:hAnsi="仿宋" w:eastAsia="仿宋" w:cs="仿宋"/>
          <w:b/>
          <w:kern w:val="0"/>
          <w:sz w:val="24"/>
          <w:szCs w:val="24"/>
        </w:rPr>
      </w:pPr>
      <w:r>
        <w:rPr>
          <w:rFonts w:hint="eastAsia" w:ascii="仿宋" w:hAnsi="仿宋" w:eastAsia="仿宋" w:cs="仿宋"/>
          <w:b/>
          <w:kern w:val="0"/>
          <w:sz w:val="24"/>
          <w:szCs w:val="24"/>
        </w:rPr>
        <w:t>第八条 履约保证金：</w:t>
      </w:r>
    </w:p>
    <w:p>
      <w:pPr>
        <w:spacing w:line="240" w:lineRule="atLeast"/>
        <w:ind w:firstLine="484" w:firstLineChars="200"/>
        <w:rPr>
          <w:rFonts w:ascii="仿宋" w:hAnsi="仿宋" w:eastAsia="仿宋" w:cs="仿宋"/>
          <w:kern w:val="0"/>
          <w:sz w:val="24"/>
          <w:szCs w:val="24"/>
        </w:rPr>
      </w:pPr>
      <w:r>
        <w:rPr>
          <w:rFonts w:hint="eastAsia" w:ascii="仿宋" w:hAnsi="仿宋" w:eastAsia="仿宋" w:cs="仿宋"/>
          <w:kern w:val="0"/>
          <w:sz w:val="24"/>
          <w:szCs w:val="24"/>
        </w:rPr>
        <w:t>合同签订前，乙方须向甲方交纳履约保证金，金额为合同额的**%。货物验收合格后一次性返还乙方。</w:t>
      </w:r>
    </w:p>
    <w:p>
      <w:pPr>
        <w:widowControl/>
        <w:suppressAutoHyphens/>
        <w:spacing w:before="156" w:beforeLines="50" w:line="320" w:lineRule="exact"/>
        <w:textAlignment w:val="center"/>
        <w:rPr>
          <w:rFonts w:ascii="仿宋" w:hAnsi="仿宋" w:eastAsia="仿宋" w:cs="仿宋"/>
          <w:b/>
          <w:kern w:val="0"/>
          <w:sz w:val="24"/>
        </w:rPr>
      </w:pPr>
      <w:r>
        <w:rPr>
          <w:rFonts w:hint="eastAsia" w:ascii="仿宋" w:hAnsi="仿宋" w:eastAsia="仿宋" w:cs="仿宋"/>
          <w:b/>
          <w:kern w:val="0"/>
          <w:sz w:val="24"/>
          <w:szCs w:val="24"/>
        </w:rPr>
        <w:t>第九条 付款方式：</w:t>
      </w:r>
    </w:p>
    <w:p>
      <w:pPr>
        <w:spacing w:line="240" w:lineRule="atLeast"/>
        <w:ind w:firstLine="484" w:firstLineChars="200"/>
        <w:rPr>
          <w:rFonts w:ascii="仿宋" w:hAnsi="仿宋" w:eastAsia="仿宋" w:cs="仿宋"/>
          <w:kern w:val="0"/>
          <w:sz w:val="24"/>
          <w:szCs w:val="24"/>
        </w:rPr>
      </w:pPr>
      <w:r>
        <w:rPr>
          <w:rFonts w:hint="eastAsia" w:ascii="仿宋" w:hAnsi="仿宋" w:eastAsia="仿宋" w:cs="仿宋"/>
          <w:kern w:val="0"/>
          <w:sz w:val="24"/>
          <w:szCs w:val="24"/>
        </w:rPr>
        <w:t>合同签订后首付款为合同额的**%，货到现场安装调试验收合格后付款合同额的**%，留合同额的**%作为质保金，预留**个月。</w:t>
      </w:r>
    </w:p>
    <w:p>
      <w:pPr>
        <w:spacing w:line="240" w:lineRule="atLeast"/>
        <w:ind w:firstLine="484" w:firstLineChars="200"/>
        <w:rPr>
          <w:rFonts w:ascii="仿宋" w:hAnsi="仿宋" w:eastAsia="仿宋" w:cs="仿宋"/>
          <w:kern w:val="0"/>
          <w:sz w:val="24"/>
          <w:szCs w:val="24"/>
        </w:rPr>
      </w:pPr>
    </w:p>
    <w:p>
      <w:pPr>
        <w:spacing w:line="240" w:lineRule="atLeast"/>
        <w:rPr>
          <w:rFonts w:ascii="仿宋" w:hAnsi="仿宋" w:eastAsia="仿宋" w:cs="仿宋"/>
          <w:b/>
          <w:kern w:val="0"/>
          <w:sz w:val="24"/>
          <w:szCs w:val="24"/>
        </w:rPr>
      </w:pPr>
      <w:r>
        <w:rPr>
          <w:rFonts w:hint="eastAsia" w:ascii="仿宋" w:hAnsi="仿宋" w:eastAsia="仿宋" w:cs="仿宋"/>
          <w:b/>
          <w:kern w:val="0"/>
          <w:sz w:val="24"/>
          <w:szCs w:val="24"/>
        </w:rPr>
        <w:t>第十条 其它约定事项：</w:t>
      </w:r>
    </w:p>
    <w:p>
      <w:pPr>
        <w:spacing w:line="240" w:lineRule="atLeast"/>
        <w:rPr>
          <w:rFonts w:ascii="仿宋" w:hAnsi="仿宋" w:eastAsia="仿宋" w:cs="仿宋"/>
          <w:kern w:val="0"/>
          <w:sz w:val="24"/>
          <w:szCs w:val="24"/>
        </w:rPr>
      </w:pPr>
      <w:r>
        <w:rPr>
          <w:rFonts w:hint="eastAsia" w:ascii="仿宋" w:hAnsi="仿宋" w:eastAsia="仿宋" w:cs="仿宋"/>
          <w:b/>
          <w:kern w:val="0"/>
          <w:sz w:val="24"/>
          <w:szCs w:val="24"/>
        </w:rPr>
        <w:t xml:space="preserve">    </w:t>
      </w:r>
      <w:r>
        <w:rPr>
          <w:rFonts w:hint="eastAsia" w:ascii="仿宋" w:hAnsi="仿宋" w:eastAsia="仿宋" w:cs="仿宋"/>
          <w:kern w:val="0"/>
          <w:sz w:val="24"/>
          <w:szCs w:val="24"/>
        </w:rPr>
        <w:t>（1）乙方须按时履行开具发票的义务。（2）乙方免费提供技术培训。（3）乙方在运输、搬运、安装、调试（含施工）、培训过程中严格执行国家安全方面的相关规定，若发生人员伤亡事故，责任由乙方负责。（3）该系统如涉及压力仪表、安全阀等需取得质检部门出具的效验合格证明。（4）系统中如涉及压力管道、压力容器等特种设备的，需办理特种设备检验及登记手续。（5）乙方在设备安装、维修过程中如动用明火作业、布设电源线、引进易燃易爆设备等应到买方相关处室办理手续，进行审批备案。</w:t>
      </w:r>
    </w:p>
    <w:p>
      <w:pPr>
        <w:spacing w:line="240" w:lineRule="atLeast"/>
        <w:rPr>
          <w:rFonts w:ascii="仿宋" w:hAnsi="仿宋" w:eastAsia="仿宋" w:cs="仿宋"/>
          <w:b/>
          <w:kern w:val="0"/>
          <w:sz w:val="24"/>
          <w:szCs w:val="24"/>
        </w:rPr>
      </w:pPr>
    </w:p>
    <w:p>
      <w:pPr>
        <w:spacing w:line="240" w:lineRule="atLeast"/>
        <w:rPr>
          <w:rFonts w:ascii="仿宋" w:hAnsi="仿宋" w:eastAsia="仿宋" w:cs="仿宋"/>
          <w:b/>
          <w:kern w:val="0"/>
          <w:sz w:val="24"/>
          <w:szCs w:val="24"/>
        </w:rPr>
      </w:pPr>
      <w:r>
        <w:rPr>
          <w:rFonts w:hint="eastAsia" w:ascii="仿宋" w:hAnsi="仿宋" w:eastAsia="仿宋" w:cs="仿宋"/>
          <w:b/>
          <w:color w:val="000000"/>
          <w:kern w:val="0"/>
          <w:sz w:val="24"/>
          <w:szCs w:val="24"/>
        </w:rPr>
        <w:t>第十一条 违约责</w:t>
      </w:r>
      <w:r>
        <w:rPr>
          <w:rFonts w:hint="eastAsia" w:ascii="仿宋" w:hAnsi="仿宋" w:eastAsia="仿宋" w:cs="仿宋"/>
          <w:b/>
          <w:kern w:val="0"/>
          <w:sz w:val="24"/>
          <w:szCs w:val="24"/>
        </w:rPr>
        <w:t>任</w:t>
      </w:r>
    </w:p>
    <w:p>
      <w:pPr>
        <w:spacing w:line="240" w:lineRule="atLeast"/>
        <w:ind w:firstLine="484" w:firstLineChars="200"/>
        <w:rPr>
          <w:rFonts w:ascii="仿宋" w:hAnsi="仿宋" w:eastAsia="仿宋" w:cs="仿宋"/>
          <w:kern w:val="0"/>
          <w:sz w:val="24"/>
          <w:szCs w:val="24"/>
        </w:rPr>
      </w:pPr>
      <w:r>
        <w:rPr>
          <w:rFonts w:hint="eastAsia" w:ascii="仿宋" w:hAnsi="仿宋" w:eastAsia="仿宋" w:cs="仿宋"/>
          <w:kern w:val="0"/>
          <w:sz w:val="24"/>
          <w:szCs w:val="24"/>
        </w:rPr>
        <w:t>（1）迟延交货壹天，需交纳总合同额千分之一的滞纳金；（2）若所供设备与合同或响应性文件不符，需退回已付货款，同时交纳总合同额**%的违约金。（3）若货物为假冒伪劣产品，乙方应按照合同总金额的2倍向甲方支付惩罚性赔偿金，若该赔偿未达到给甲方造成损失的2倍，则乙方应当支付给甲方造成损失的2倍的惩罚性赔偿金，且并不当然免除其依法应受的其它处罚。</w:t>
      </w:r>
    </w:p>
    <w:p>
      <w:pPr>
        <w:widowControl/>
        <w:suppressAutoHyphens/>
        <w:spacing w:before="156" w:beforeLines="50" w:line="320" w:lineRule="exact"/>
        <w:textAlignment w:val="center"/>
        <w:rPr>
          <w:rFonts w:ascii="仿宋" w:hAnsi="仿宋" w:eastAsia="仿宋" w:cs="仿宋"/>
          <w:sz w:val="24"/>
        </w:rPr>
      </w:pPr>
      <w:r>
        <w:rPr>
          <w:rFonts w:hint="eastAsia" w:ascii="仿宋" w:hAnsi="仿宋" w:eastAsia="仿宋" w:cs="仿宋"/>
          <w:b/>
          <w:kern w:val="0"/>
          <w:sz w:val="24"/>
          <w:szCs w:val="24"/>
        </w:rPr>
        <w:t>第十二条 争议解决方式：</w:t>
      </w:r>
    </w:p>
    <w:p>
      <w:pPr>
        <w:spacing w:line="240" w:lineRule="atLeast"/>
        <w:ind w:firstLine="484" w:firstLineChars="200"/>
        <w:rPr>
          <w:rFonts w:ascii="仿宋" w:hAnsi="仿宋" w:eastAsia="仿宋" w:cs="仿宋"/>
          <w:kern w:val="0"/>
          <w:sz w:val="24"/>
          <w:szCs w:val="24"/>
        </w:rPr>
      </w:pPr>
      <w:r>
        <w:rPr>
          <w:rFonts w:hint="eastAsia" w:ascii="仿宋" w:hAnsi="仿宋" w:eastAsia="仿宋" w:cs="仿宋"/>
          <w:kern w:val="0"/>
          <w:sz w:val="24"/>
          <w:szCs w:val="24"/>
        </w:rPr>
        <w:t>本合同在履行过程中若发生争议，由双方协商解决；协商不成，向甲方所在地人民法院提起诉讼。</w:t>
      </w:r>
    </w:p>
    <w:p>
      <w:pPr>
        <w:spacing w:line="240" w:lineRule="atLeast"/>
        <w:rPr>
          <w:rFonts w:ascii="仿宋" w:hAnsi="仿宋" w:eastAsia="仿宋" w:cs="仿宋"/>
          <w:kern w:val="0"/>
          <w:sz w:val="24"/>
          <w:szCs w:val="24"/>
        </w:rPr>
      </w:pPr>
    </w:p>
    <w:p>
      <w:pPr>
        <w:spacing w:line="240" w:lineRule="atLeast"/>
        <w:rPr>
          <w:rFonts w:ascii="仿宋" w:hAnsi="仿宋" w:eastAsia="仿宋" w:cs="仿宋"/>
          <w:sz w:val="24"/>
          <w:szCs w:val="24"/>
        </w:rPr>
      </w:pPr>
      <w:r>
        <w:rPr>
          <w:rFonts w:hint="eastAsia" w:ascii="仿宋" w:hAnsi="仿宋" w:eastAsia="仿宋" w:cs="仿宋"/>
          <w:b/>
          <w:sz w:val="24"/>
          <w:szCs w:val="24"/>
        </w:rPr>
        <w:t xml:space="preserve">第十三条 </w:t>
      </w:r>
      <w:r>
        <w:rPr>
          <w:rFonts w:hint="eastAsia" w:ascii="仿宋" w:hAnsi="仿宋" w:eastAsia="仿宋" w:cs="仿宋"/>
          <w:sz w:val="24"/>
          <w:szCs w:val="24"/>
        </w:rPr>
        <w:t>本合同一式五份，甲方持有四份，乙方持有一份，具有同等效力，经双方签字盖章后生效。</w:t>
      </w:r>
    </w:p>
    <w:p>
      <w:pPr>
        <w:spacing w:line="240" w:lineRule="atLeast"/>
        <w:rPr>
          <w:rFonts w:ascii="仿宋" w:hAnsi="仿宋" w:eastAsia="仿宋" w:cs="仿宋"/>
          <w:sz w:val="24"/>
          <w:szCs w:val="24"/>
        </w:rPr>
      </w:pPr>
    </w:p>
    <w:p>
      <w:pPr>
        <w:spacing w:line="240" w:lineRule="atLeast"/>
        <w:rPr>
          <w:rFonts w:ascii="仿宋" w:hAnsi="仿宋" w:eastAsia="仿宋" w:cs="仿宋"/>
          <w:sz w:val="24"/>
          <w:szCs w:val="24"/>
        </w:rPr>
      </w:pPr>
      <w:r>
        <w:rPr>
          <w:rFonts w:hint="eastAsia" w:ascii="仿宋" w:hAnsi="仿宋" w:eastAsia="仿宋" w:cs="仿宋"/>
          <w:b/>
          <w:sz w:val="24"/>
          <w:szCs w:val="24"/>
        </w:rPr>
        <w:t xml:space="preserve">第十四条 </w:t>
      </w:r>
      <w:r>
        <w:rPr>
          <w:rFonts w:hint="eastAsia" w:ascii="仿宋" w:hAnsi="仿宋" w:eastAsia="仿宋" w:cs="仿宋"/>
          <w:sz w:val="24"/>
          <w:szCs w:val="24"/>
        </w:rPr>
        <w:t>本合同未尽事宜，经双方协商一致后签订补充协议，补充协议是本合同的组成部分，与本合同具有同等效力。</w:t>
      </w:r>
    </w:p>
    <w:p>
      <w:pPr>
        <w:spacing w:line="240" w:lineRule="atLeast"/>
        <w:rPr>
          <w:rFonts w:ascii="仿宋" w:hAnsi="仿宋" w:eastAsia="仿宋" w:cs="仿宋"/>
          <w:sz w:val="24"/>
          <w:szCs w:val="24"/>
        </w:rPr>
      </w:pPr>
    </w:p>
    <w:p>
      <w:pPr>
        <w:spacing w:line="240" w:lineRule="atLeast"/>
        <w:rPr>
          <w:rFonts w:ascii="仿宋" w:hAnsi="仿宋" w:eastAsia="仿宋" w:cs="仿宋"/>
          <w:sz w:val="24"/>
          <w:szCs w:val="24"/>
        </w:rPr>
      </w:pPr>
    </w:p>
    <w:p>
      <w:pPr>
        <w:spacing w:line="440" w:lineRule="exact"/>
        <w:rPr>
          <w:rStyle w:val="42"/>
          <w:rFonts w:hint="default" w:ascii="仿宋" w:hAnsi="仿宋" w:eastAsia="仿宋" w:cs="仿宋"/>
          <w:sz w:val="24"/>
          <w:szCs w:val="24"/>
        </w:rPr>
      </w:pPr>
      <w:r>
        <w:rPr>
          <w:rFonts w:hint="eastAsia" w:ascii="仿宋" w:hAnsi="仿宋" w:eastAsia="仿宋" w:cs="仿宋"/>
          <w:b/>
          <w:kern w:val="0"/>
          <w:sz w:val="24"/>
          <w:szCs w:val="24"/>
        </w:rPr>
        <w:t>甲方：哈尔滨工程大学（章）                       乙方：**********</w:t>
      </w:r>
      <w:r>
        <w:rPr>
          <w:rFonts w:hint="eastAsia" w:ascii="仿宋" w:hAnsi="仿宋" w:eastAsia="仿宋" w:cs="楷体_GB2312"/>
          <w:b/>
          <w:bCs/>
          <w:kern w:val="0"/>
          <w:sz w:val="24"/>
        </w:rPr>
        <w:t>******</w:t>
      </w:r>
      <w:r>
        <w:rPr>
          <w:rStyle w:val="42"/>
          <w:rFonts w:hint="default" w:ascii="仿宋" w:hAnsi="仿宋" w:eastAsia="仿宋" w:cs="仿宋"/>
          <w:sz w:val="24"/>
          <w:szCs w:val="24"/>
        </w:rPr>
        <w:t>(章）</w:t>
      </w:r>
    </w:p>
    <w:p>
      <w:pPr>
        <w:spacing w:line="320" w:lineRule="exact"/>
        <w:rPr>
          <w:rFonts w:ascii="仿宋" w:hAnsi="仿宋" w:eastAsia="仿宋" w:cs="仿宋"/>
          <w:b/>
          <w:kern w:val="0"/>
          <w:sz w:val="24"/>
          <w:szCs w:val="24"/>
        </w:rPr>
      </w:pPr>
      <w:r>
        <w:rPr>
          <w:rFonts w:hint="eastAsia" w:ascii="仿宋" w:hAnsi="仿宋" w:eastAsia="仿宋" w:cs="仿宋"/>
          <w:b/>
          <w:kern w:val="0"/>
          <w:sz w:val="24"/>
          <w:szCs w:val="24"/>
        </w:rPr>
        <w:t>开户行：</w:t>
      </w:r>
      <w:r>
        <w:rPr>
          <w:rFonts w:hint="eastAsia" w:ascii="仿宋" w:hAnsi="仿宋" w:eastAsia="仿宋" w:cs="仿宋"/>
          <w:kern w:val="0"/>
          <w:sz w:val="24"/>
          <w:szCs w:val="24"/>
        </w:rPr>
        <w:t xml:space="preserve">中国工商银行股份有限公司哈尔滨宣桥支行   </w:t>
      </w:r>
      <w:r>
        <w:rPr>
          <w:rFonts w:hint="eastAsia" w:ascii="仿宋" w:hAnsi="仿宋" w:eastAsia="仿宋" w:cs="仿宋"/>
          <w:b/>
          <w:kern w:val="0"/>
          <w:sz w:val="24"/>
          <w:szCs w:val="24"/>
        </w:rPr>
        <w:t>开户行：********</w:t>
      </w:r>
    </w:p>
    <w:p>
      <w:pPr>
        <w:spacing w:line="320" w:lineRule="exact"/>
        <w:rPr>
          <w:rFonts w:ascii="仿宋" w:hAnsi="仿宋" w:eastAsia="仿宋" w:cs="仿宋"/>
          <w:b/>
          <w:kern w:val="0"/>
          <w:sz w:val="24"/>
          <w:szCs w:val="24"/>
        </w:rPr>
      </w:pPr>
      <w:r>
        <w:rPr>
          <w:rFonts w:hint="eastAsia" w:ascii="仿宋" w:hAnsi="仿宋" w:eastAsia="仿宋" w:cs="仿宋"/>
          <w:b/>
          <w:kern w:val="0"/>
          <w:sz w:val="24"/>
          <w:szCs w:val="24"/>
        </w:rPr>
        <w:t>帐号：</w:t>
      </w:r>
      <w:r>
        <w:rPr>
          <w:rFonts w:hint="eastAsia" w:ascii="仿宋" w:hAnsi="仿宋" w:eastAsia="仿宋" w:cs="仿宋"/>
          <w:kern w:val="0"/>
          <w:sz w:val="24"/>
          <w:szCs w:val="24"/>
        </w:rPr>
        <w:t xml:space="preserve">3500040709008802226                        </w:t>
      </w:r>
      <w:r>
        <w:rPr>
          <w:rFonts w:hint="eastAsia" w:ascii="仿宋" w:hAnsi="仿宋" w:eastAsia="仿宋" w:cs="仿宋"/>
          <w:b/>
          <w:kern w:val="0"/>
          <w:sz w:val="24"/>
          <w:szCs w:val="24"/>
        </w:rPr>
        <w:t>帐号：********</w:t>
      </w:r>
    </w:p>
    <w:p>
      <w:pPr>
        <w:spacing w:line="320" w:lineRule="exact"/>
        <w:rPr>
          <w:rFonts w:ascii="仿宋" w:hAnsi="仿宋" w:eastAsia="仿宋" w:cs="仿宋"/>
          <w:b/>
          <w:kern w:val="0"/>
          <w:sz w:val="24"/>
          <w:szCs w:val="24"/>
        </w:rPr>
      </w:pPr>
      <w:r>
        <w:rPr>
          <w:rFonts w:hint="eastAsia" w:ascii="仿宋" w:hAnsi="仿宋" w:eastAsia="仿宋" w:cs="仿宋"/>
          <w:b/>
          <w:kern w:val="0"/>
          <w:sz w:val="24"/>
          <w:szCs w:val="24"/>
        </w:rPr>
        <w:t>税号：</w:t>
      </w:r>
      <w:r>
        <w:rPr>
          <w:rFonts w:hint="eastAsia" w:ascii="仿宋" w:hAnsi="仿宋" w:eastAsia="仿宋" w:cs="仿宋"/>
          <w:kern w:val="0"/>
          <w:sz w:val="24"/>
          <w:szCs w:val="24"/>
        </w:rPr>
        <w:t xml:space="preserve">12100000424006211L                         </w:t>
      </w:r>
      <w:r>
        <w:rPr>
          <w:rFonts w:hint="eastAsia" w:ascii="仿宋" w:hAnsi="仿宋" w:eastAsia="仿宋" w:cs="仿宋"/>
          <w:b/>
          <w:kern w:val="0"/>
          <w:sz w:val="24"/>
          <w:szCs w:val="24"/>
        </w:rPr>
        <w:t>税号：</w:t>
      </w:r>
    </w:p>
    <w:p>
      <w:pPr>
        <w:spacing w:line="320" w:lineRule="exact"/>
        <w:rPr>
          <w:rFonts w:ascii="仿宋" w:hAnsi="仿宋" w:eastAsia="仿宋" w:cs="仿宋"/>
          <w:b/>
          <w:kern w:val="0"/>
          <w:sz w:val="24"/>
          <w:szCs w:val="24"/>
        </w:rPr>
      </w:pPr>
      <w:r>
        <w:rPr>
          <w:rFonts w:hint="eastAsia" w:ascii="仿宋" w:hAnsi="仿宋" w:eastAsia="仿宋" w:cs="仿宋"/>
          <w:b/>
          <w:kern w:val="0"/>
          <w:sz w:val="24"/>
          <w:szCs w:val="24"/>
        </w:rPr>
        <w:t xml:space="preserve">法定代表人（委托代理人）：                       法定代表人：                   </w:t>
      </w:r>
    </w:p>
    <w:p>
      <w:pPr>
        <w:spacing w:line="320" w:lineRule="exact"/>
        <w:rPr>
          <w:rFonts w:ascii="仿宋" w:hAnsi="仿宋" w:eastAsia="仿宋" w:cs="仿宋"/>
          <w:b/>
          <w:kern w:val="0"/>
          <w:sz w:val="24"/>
          <w:szCs w:val="24"/>
        </w:rPr>
      </w:pPr>
      <w:r>
        <w:rPr>
          <w:rFonts w:hint="eastAsia" w:ascii="仿宋" w:hAnsi="仿宋" w:eastAsia="仿宋" w:cs="仿宋"/>
          <w:b/>
          <w:kern w:val="0"/>
          <w:sz w:val="24"/>
          <w:szCs w:val="24"/>
        </w:rPr>
        <w:t>项目负责人：                                     委托代理人：</w:t>
      </w:r>
    </w:p>
    <w:p>
      <w:pPr>
        <w:spacing w:line="440" w:lineRule="exact"/>
        <w:rPr>
          <w:rFonts w:ascii="仿宋" w:hAnsi="仿宋" w:eastAsia="仿宋" w:cs="仿宋"/>
          <w:b/>
          <w:kern w:val="0"/>
          <w:sz w:val="24"/>
          <w:szCs w:val="24"/>
        </w:rPr>
      </w:pPr>
      <w:r>
        <w:rPr>
          <w:rFonts w:hint="eastAsia" w:ascii="仿宋" w:hAnsi="仿宋" w:eastAsia="仿宋" w:cs="仿宋"/>
          <w:b/>
          <w:kern w:val="0"/>
          <w:sz w:val="24"/>
          <w:szCs w:val="24"/>
        </w:rPr>
        <w:t xml:space="preserve">                  </w:t>
      </w:r>
      <w:r>
        <w:rPr>
          <w:rFonts w:hint="eastAsia" w:ascii="仿宋" w:hAnsi="仿宋" w:eastAsia="仿宋" w:cs="仿宋"/>
          <w:kern w:val="0"/>
          <w:sz w:val="24"/>
          <w:szCs w:val="24"/>
        </w:rPr>
        <w:t xml:space="preserve">年  月  日 </w:t>
      </w:r>
      <w:r>
        <w:rPr>
          <w:rFonts w:hint="eastAsia" w:ascii="仿宋" w:hAnsi="仿宋" w:eastAsia="仿宋" w:cs="仿宋"/>
          <w:b/>
          <w:kern w:val="0"/>
          <w:sz w:val="24"/>
          <w:szCs w:val="24"/>
        </w:rPr>
        <w:t xml:space="preserve">                     </w:t>
      </w:r>
      <w:r>
        <w:rPr>
          <w:rFonts w:hint="eastAsia" w:ascii="仿宋" w:hAnsi="仿宋" w:eastAsia="仿宋" w:cs="仿宋"/>
          <w:kern w:val="0"/>
          <w:sz w:val="24"/>
          <w:szCs w:val="24"/>
        </w:rPr>
        <w:t>年  月  日</w:t>
      </w:r>
    </w:p>
    <w:p>
      <w:pPr>
        <w:jc w:val="center"/>
        <w:rPr>
          <w:rFonts w:hint="eastAsia" w:ascii="黑体" w:hAnsi="黑体" w:eastAsia="黑体"/>
          <w:b/>
          <w:position w:val="16"/>
          <w:sz w:val="36"/>
          <w:szCs w:val="36"/>
        </w:rPr>
      </w:pPr>
    </w:p>
    <w:p>
      <w:pPr>
        <w:rPr>
          <w:rFonts w:hint="eastAsia" w:ascii="宋体" w:hAnsi="宋体" w:eastAsia="宋体" w:cs="宋体"/>
          <w:sz w:val="21"/>
          <w:szCs w:val="21"/>
          <w:highlight w:val="none"/>
        </w:rPr>
      </w:pPr>
    </w:p>
    <w:p>
      <w:pPr>
        <w:rPr>
          <w:rFonts w:hint="eastAsia" w:ascii="宋体" w:hAnsi="宋体" w:eastAsia="宋体" w:cs="宋体"/>
          <w:sz w:val="21"/>
          <w:szCs w:val="21"/>
          <w:highlight w:val="none"/>
        </w:rPr>
      </w:pPr>
    </w:p>
    <w:p>
      <w:pPr>
        <w:rPr>
          <w:rFonts w:hint="eastAsia" w:ascii="宋体" w:hAnsi="宋体" w:eastAsia="宋体" w:cs="宋体"/>
          <w:sz w:val="21"/>
          <w:szCs w:val="21"/>
          <w:highlight w:val="none"/>
        </w:rPr>
      </w:pPr>
    </w:p>
    <w:p>
      <w:pPr>
        <w:rPr>
          <w:rFonts w:hint="eastAsia" w:ascii="宋体" w:hAnsi="宋体" w:eastAsia="宋体" w:cs="宋体"/>
          <w:sz w:val="21"/>
          <w:szCs w:val="21"/>
          <w:highlight w:val="none"/>
        </w:rPr>
      </w:pPr>
    </w:p>
    <w:p>
      <w:pPr>
        <w:rPr>
          <w:rFonts w:hint="eastAsia" w:ascii="宋体" w:hAnsi="宋体" w:eastAsia="宋体" w:cs="宋体"/>
          <w:sz w:val="21"/>
          <w:szCs w:val="21"/>
          <w:highlight w:val="none"/>
        </w:rPr>
      </w:pPr>
    </w:p>
    <w:p>
      <w:pPr>
        <w:rPr>
          <w:rFonts w:hint="eastAsia" w:ascii="宋体" w:hAnsi="宋体" w:eastAsia="宋体" w:cs="宋体"/>
          <w:sz w:val="21"/>
          <w:szCs w:val="21"/>
          <w:highlight w:val="none"/>
        </w:rPr>
      </w:pPr>
    </w:p>
    <w:p>
      <w:pPr>
        <w:snapToGrid w:val="0"/>
        <w:spacing w:line="360" w:lineRule="auto"/>
        <w:ind w:left="450"/>
        <w:jc w:val="center"/>
        <w:rPr>
          <w:rFonts w:hint="eastAsia" w:ascii="宋体" w:hAnsi="宋体" w:eastAsia="宋体" w:cs="宋体"/>
          <w:sz w:val="21"/>
          <w:szCs w:val="21"/>
          <w:highlight w:val="none"/>
        </w:rPr>
      </w:pPr>
    </w:p>
    <w:p>
      <w:pPr>
        <w:snapToGrid w:val="0"/>
        <w:spacing w:line="360" w:lineRule="auto"/>
        <w:ind w:left="450"/>
        <w:jc w:val="center"/>
        <w:rPr>
          <w:rFonts w:hint="eastAsia" w:ascii="黑体" w:hAnsi="黑体" w:eastAsia="黑体" w:cs="黑体"/>
          <w:b/>
          <w:bCs/>
          <w:sz w:val="21"/>
          <w:szCs w:val="21"/>
          <w:highlight w:val="none"/>
        </w:rPr>
      </w:pPr>
    </w:p>
    <w:p>
      <w:pPr>
        <w:pStyle w:val="2"/>
        <w:rPr>
          <w:rFonts w:hint="eastAsia" w:ascii="黑体" w:hAnsi="黑体" w:eastAsia="黑体" w:cs="黑体"/>
          <w:b/>
          <w:bCs/>
          <w:sz w:val="21"/>
          <w:szCs w:val="21"/>
          <w:highlight w:val="none"/>
        </w:rPr>
      </w:pPr>
    </w:p>
    <w:p>
      <w:pPr>
        <w:pStyle w:val="2"/>
        <w:rPr>
          <w:rFonts w:hint="eastAsia" w:ascii="黑体" w:hAnsi="黑体" w:eastAsia="黑体" w:cs="黑体"/>
          <w:b/>
          <w:bCs/>
          <w:sz w:val="21"/>
          <w:szCs w:val="21"/>
          <w:highlight w:val="none"/>
        </w:rPr>
      </w:pPr>
    </w:p>
    <w:p>
      <w:pPr>
        <w:pStyle w:val="2"/>
        <w:rPr>
          <w:rFonts w:hint="eastAsia" w:ascii="黑体" w:hAnsi="黑体" w:eastAsia="黑体" w:cs="黑体"/>
          <w:b/>
          <w:bCs/>
          <w:sz w:val="21"/>
          <w:szCs w:val="21"/>
          <w:highlight w:val="none"/>
        </w:rPr>
      </w:pPr>
    </w:p>
    <w:p>
      <w:pPr>
        <w:pStyle w:val="2"/>
        <w:rPr>
          <w:rFonts w:hint="eastAsia" w:ascii="黑体" w:hAnsi="黑体" w:eastAsia="黑体" w:cs="黑体"/>
          <w:b/>
          <w:bCs/>
          <w:sz w:val="21"/>
          <w:szCs w:val="21"/>
          <w:highlight w:val="none"/>
        </w:rPr>
      </w:pPr>
    </w:p>
    <w:p>
      <w:pPr>
        <w:pStyle w:val="2"/>
        <w:rPr>
          <w:rFonts w:hint="eastAsia" w:ascii="黑体" w:hAnsi="黑体" w:eastAsia="黑体" w:cs="黑体"/>
          <w:b/>
          <w:bCs/>
          <w:sz w:val="21"/>
          <w:szCs w:val="21"/>
          <w:highlight w:val="none"/>
        </w:rPr>
      </w:pPr>
    </w:p>
    <w:p>
      <w:pPr>
        <w:pStyle w:val="2"/>
        <w:rPr>
          <w:rFonts w:hint="eastAsia" w:ascii="黑体" w:hAnsi="黑体" w:eastAsia="黑体" w:cs="黑体"/>
          <w:b/>
          <w:bCs/>
          <w:sz w:val="21"/>
          <w:szCs w:val="21"/>
          <w:highlight w:val="none"/>
        </w:rPr>
      </w:pPr>
    </w:p>
    <w:p>
      <w:pPr>
        <w:pStyle w:val="2"/>
        <w:rPr>
          <w:rFonts w:hint="eastAsia" w:ascii="黑体" w:hAnsi="黑体" w:eastAsia="黑体" w:cs="黑体"/>
          <w:b/>
          <w:bCs/>
          <w:sz w:val="21"/>
          <w:szCs w:val="21"/>
          <w:highlight w:val="none"/>
        </w:rPr>
      </w:pPr>
    </w:p>
    <w:p>
      <w:pPr>
        <w:pStyle w:val="2"/>
        <w:rPr>
          <w:rFonts w:hint="eastAsia" w:ascii="黑体" w:hAnsi="黑体" w:eastAsia="黑体" w:cs="黑体"/>
          <w:b/>
          <w:bCs/>
          <w:sz w:val="21"/>
          <w:szCs w:val="21"/>
          <w:highlight w:val="none"/>
        </w:rPr>
      </w:pPr>
    </w:p>
    <w:p>
      <w:pPr>
        <w:pStyle w:val="2"/>
        <w:rPr>
          <w:rFonts w:hint="eastAsia" w:ascii="黑体" w:hAnsi="黑体" w:eastAsia="黑体" w:cs="黑体"/>
          <w:b/>
          <w:bCs/>
          <w:sz w:val="21"/>
          <w:szCs w:val="21"/>
          <w:highlight w:val="none"/>
        </w:rPr>
      </w:pPr>
    </w:p>
    <w:p>
      <w:pPr>
        <w:pStyle w:val="2"/>
        <w:rPr>
          <w:rFonts w:hint="eastAsia" w:ascii="黑体" w:hAnsi="黑体" w:eastAsia="黑体" w:cs="黑体"/>
          <w:b/>
          <w:bCs/>
          <w:sz w:val="21"/>
          <w:szCs w:val="21"/>
          <w:highlight w:val="none"/>
        </w:rPr>
      </w:pPr>
    </w:p>
    <w:p>
      <w:pPr>
        <w:pStyle w:val="2"/>
        <w:rPr>
          <w:rFonts w:hint="eastAsia" w:ascii="黑体" w:hAnsi="黑体" w:eastAsia="黑体" w:cs="黑体"/>
          <w:b/>
          <w:bCs/>
          <w:sz w:val="21"/>
          <w:szCs w:val="21"/>
          <w:highlight w:val="none"/>
        </w:rPr>
      </w:pPr>
    </w:p>
    <w:p>
      <w:pPr>
        <w:pStyle w:val="2"/>
        <w:rPr>
          <w:rFonts w:hint="eastAsia" w:ascii="黑体" w:hAnsi="黑体" w:eastAsia="黑体" w:cs="黑体"/>
          <w:b/>
          <w:bCs/>
          <w:sz w:val="21"/>
          <w:szCs w:val="21"/>
          <w:highlight w:val="none"/>
        </w:rPr>
      </w:pPr>
    </w:p>
    <w:p>
      <w:pPr>
        <w:pStyle w:val="2"/>
        <w:rPr>
          <w:rFonts w:hint="eastAsia" w:ascii="黑体" w:hAnsi="黑体" w:eastAsia="黑体" w:cs="黑体"/>
          <w:b/>
          <w:bCs/>
          <w:sz w:val="21"/>
          <w:szCs w:val="21"/>
          <w:highlight w:val="none"/>
        </w:rPr>
      </w:pPr>
    </w:p>
    <w:p>
      <w:pPr>
        <w:pStyle w:val="2"/>
        <w:rPr>
          <w:rFonts w:hint="eastAsia" w:ascii="黑体" w:hAnsi="黑体" w:eastAsia="黑体" w:cs="黑体"/>
          <w:b/>
          <w:bCs/>
          <w:sz w:val="21"/>
          <w:szCs w:val="21"/>
          <w:highlight w:val="none"/>
        </w:rPr>
      </w:pPr>
    </w:p>
    <w:p>
      <w:pPr>
        <w:pStyle w:val="2"/>
        <w:rPr>
          <w:rFonts w:hint="eastAsia" w:ascii="黑体" w:hAnsi="黑体" w:eastAsia="黑体" w:cs="黑体"/>
          <w:b/>
          <w:bCs/>
          <w:sz w:val="21"/>
          <w:szCs w:val="21"/>
          <w:highlight w:val="none"/>
        </w:rPr>
      </w:pPr>
    </w:p>
    <w:p>
      <w:pPr>
        <w:pStyle w:val="2"/>
        <w:rPr>
          <w:rFonts w:hint="eastAsia" w:ascii="黑体" w:hAnsi="黑体" w:eastAsia="黑体" w:cs="黑体"/>
          <w:b/>
          <w:bCs/>
          <w:sz w:val="21"/>
          <w:szCs w:val="21"/>
          <w:highlight w:val="none"/>
        </w:rPr>
      </w:pPr>
    </w:p>
    <w:p>
      <w:pPr>
        <w:pStyle w:val="2"/>
        <w:rPr>
          <w:rFonts w:hint="eastAsia" w:ascii="黑体" w:hAnsi="黑体" w:eastAsia="黑体" w:cs="黑体"/>
          <w:b/>
          <w:bCs/>
          <w:sz w:val="21"/>
          <w:szCs w:val="21"/>
          <w:highlight w:val="none"/>
        </w:rPr>
      </w:pPr>
    </w:p>
    <w:p>
      <w:pPr>
        <w:pStyle w:val="2"/>
        <w:rPr>
          <w:rFonts w:hint="eastAsia" w:ascii="黑体" w:hAnsi="黑体" w:eastAsia="黑体" w:cs="黑体"/>
          <w:b/>
          <w:bCs/>
          <w:sz w:val="21"/>
          <w:szCs w:val="21"/>
          <w:highlight w:val="none"/>
        </w:rPr>
      </w:pPr>
    </w:p>
    <w:p>
      <w:pPr>
        <w:pStyle w:val="2"/>
        <w:rPr>
          <w:rFonts w:hint="eastAsia" w:ascii="黑体" w:hAnsi="黑体" w:eastAsia="黑体" w:cs="黑体"/>
          <w:b/>
          <w:bCs/>
          <w:sz w:val="21"/>
          <w:szCs w:val="21"/>
          <w:highlight w:val="none"/>
        </w:rPr>
      </w:pPr>
    </w:p>
    <w:p>
      <w:pPr>
        <w:pStyle w:val="2"/>
        <w:rPr>
          <w:rFonts w:hint="eastAsia" w:ascii="黑体" w:hAnsi="黑体" w:eastAsia="黑体" w:cs="黑体"/>
          <w:b/>
          <w:bCs/>
          <w:sz w:val="21"/>
          <w:szCs w:val="21"/>
          <w:highlight w:val="none"/>
        </w:rPr>
      </w:pPr>
    </w:p>
    <w:p>
      <w:pPr>
        <w:pStyle w:val="2"/>
        <w:rPr>
          <w:rFonts w:hint="eastAsia" w:ascii="黑体" w:hAnsi="黑体" w:eastAsia="黑体" w:cs="黑体"/>
          <w:b/>
          <w:bCs/>
          <w:sz w:val="21"/>
          <w:szCs w:val="21"/>
          <w:highlight w:val="none"/>
        </w:rPr>
      </w:pPr>
    </w:p>
    <w:p>
      <w:pPr>
        <w:pStyle w:val="2"/>
        <w:rPr>
          <w:rFonts w:hint="eastAsia" w:ascii="黑体" w:hAnsi="黑体" w:eastAsia="黑体" w:cs="黑体"/>
          <w:b/>
          <w:bCs/>
          <w:sz w:val="21"/>
          <w:szCs w:val="21"/>
          <w:highlight w:val="none"/>
        </w:rPr>
      </w:pPr>
    </w:p>
    <w:p>
      <w:pPr>
        <w:pStyle w:val="2"/>
        <w:rPr>
          <w:rFonts w:hint="eastAsia" w:ascii="黑体" w:hAnsi="黑体" w:eastAsia="黑体" w:cs="黑体"/>
          <w:b/>
          <w:bCs/>
          <w:sz w:val="21"/>
          <w:szCs w:val="21"/>
          <w:highlight w:val="none"/>
        </w:rPr>
      </w:pPr>
    </w:p>
    <w:p>
      <w:pPr>
        <w:pStyle w:val="2"/>
        <w:rPr>
          <w:rFonts w:hint="eastAsia" w:ascii="黑体" w:hAnsi="黑体" w:eastAsia="黑体" w:cs="黑体"/>
          <w:b/>
          <w:bCs/>
          <w:sz w:val="21"/>
          <w:szCs w:val="21"/>
          <w:highlight w:val="none"/>
        </w:rPr>
      </w:pPr>
    </w:p>
    <w:p>
      <w:pPr>
        <w:pStyle w:val="2"/>
        <w:rPr>
          <w:rFonts w:hint="eastAsia" w:ascii="黑体" w:hAnsi="黑体" w:eastAsia="黑体" w:cs="黑体"/>
          <w:b/>
          <w:bCs/>
          <w:sz w:val="21"/>
          <w:szCs w:val="21"/>
          <w:highlight w:val="none"/>
        </w:rPr>
      </w:pPr>
    </w:p>
    <w:p>
      <w:pPr>
        <w:snapToGrid w:val="0"/>
        <w:spacing w:line="360" w:lineRule="auto"/>
        <w:ind w:left="450"/>
        <w:jc w:val="center"/>
        <w:outlineLvl w:val="0"/>
        <w:rPr>
          <w:rFonts w:hint="eastAsia" w:ascii="黑体" w:hAnsi="黑体" w:eastAsia="黑体" w:cs="黑体"/>
          <w:b/>
          <w:bCs/>
          <w:sz w:val="36"/>
          <w:szCs w:val="36"/>
          <w:highlight w:val="none"/>
        </w:rPr>
      </w:pPr>
      <w:bookmarkStart w:id="60" w:name="_Toc13827"/>
    </w:p>
    <w:p>
      <w:pPr>
        <w:snapToGrid w:val="0"/>
        <w:spacing w:line="360" w:lineRule="auto"/>
        <w:ind w:left="450"/>
        <w:jc w:val="center"/>
        <w:outlineLvl w:val="0"/>
        <w:rPr>
          <w:rFonts w:hint="eastAsia" w:ascii="黑体" w:hAnsi="黑体" w:eastAsia="黑体" w:cs="黑体"/>
          <w:b/>
          <w:bCs/>
          <w:sz w:val="36"/>
          <w:szCs w:val="36"/>
          <w:highlight w:val="none"/>
        </w:rPr>
      </w:pPr>
      <w:r>
        <w:rPr>
          <w:rFonts w:hint="eastAsia" w:ascii="黑体" w:hAnsi="黑体" w:eastAsia="黑体" w:cs="黑体"/>
          <w:b/>
          <w:bCs/>
          <w:sz w:val="36"/>
          <w:szCs w:val="36"/>
          <w:highlight w:val="none"/>
        </w:rPr>
        <w:t>第五部分  响应文件格式及附件</w:t>
      </w:r>
      <w:bookmarkEnd w:id="60"/>
    </w:p>
    <w:p>
      <w:pPr>
        <w:snapToGrid w:val="0"/>
        <w:spacing w:line="360" w:lineRule="auto"/>
        <w:ind w:firstLine="527" w:firstLineChars="218"/>
        <w:rPr>
          <w:rFonts w:hint="eastAsia" w:ascii="黑体" w:hAnsi="黑体" w:eastAsia="黑体" w:cs="黑体"/>
          <w:b w:val="0"/>
          <w:bCs w:val="0"/>
          <w:sz w:val="24"/>
          <w:szCs w:val="24"/>
          <w:highlight w:val="none"/>
        </w:rPr>
      </w:pPr>
      <w:r>
        <w:rPr>
          <w:rFonts w:hint="eastAsia" w:ascii="黑体" w:hAnsi="黑体" w:eastAsia="黑体" w:cs="黑体"/>
          <w:b w:val="0"/>
          <w:bCs w:val="0"/>
          <w:sz w:val="24"/>
          <w:szCs w:val="24"/>
          <w:highlight w:val="none"/>
        </w:rPr>
        <w:t>《响应文件格式》是参加磋商活动供应商的部分响应文件格式，请参照这些格式编制响应文件。</w:t>
      </w:r>
    </w:p>
    <w:p>
      <w:pPr>
        <w:widowControl/>
        <w:jc w:val="center"/>
        <w:rPr>
          <w:rFonts w:hint="eastAsia" w:ascii="宋体" w:hAnsi="宋体" w:eastAsia="宋体" w:cs="宋体"/>
          <w:b/>
          <w:bCs/>
          <w:sz w:val="30"/>
          <w:szCs w:val="30"/>
          <w:highlight w:val="none"/>
        </w:rPr>
      </w:pPr>
      <w:r>
        <w:rPr>
          <w:rFonts w:hint="eastAsia" w:ascii="黑体" w:hAnsi="黑体" w:eastAsia="黑体" w:cs="黑体"/>
          <w:b/>
          <w:bCs/>
          <w:sz w:val="30"/>
          <w:szCs w:val="30"/>
          <w:highlight w:val="none"/>
        </w:rPr>
        <w:br w:type="page"/>
      </w:r>
    </w:p>
    <w:p>
      <w:pPr>
        <w:widowControl/>
        <w:jc w:val="center"/>
        <w:rPr>
          <w:rFonts w:eastAsia="黑体"/>
          <w:sz w:val="24"/>
        </w:rPr>
      </w:pPr>
      <w:r>
        <w:rPr>
          <w:rStyle w:val="22"/>
          <w:rFonts w:hint="eastAsia"/>
        </w:rPr>
        <w:t>1、响应文件封面格式</w:t>
      </w:r>
    </w:p>
    <w:p>
      <w:pPr>
        <w:widowControl/>
        <w:jc w:val="center"/>
        <w:rPr>
          <w:rFonts w:eastAsia="黑体"/>
          <w:sz w:val="36"/>
          <w:szCs w:val="36"/>
        </w:rPr>
      </w:pPr>
    </w:p>
    <w:p>
      <w:pPr>
        <w:widowControl/>
        <w:jc w:val="center"/>
        <w:rPr>
          <w:rFonts w:eastAsia="黑体"/>
          <w:b/>
          <w:sz w:val="84"/>
          <w:szCs w:val="84"/>
        </w:rPr>
      </w:pPr>
      <w:r>
        <w:rPr>
          <w:rFonts w:hint="eastAsia" w:eastAsia="黑体"/>
          <w:b/>
          <w:sz w:val="84"/>
          <w:szCs w:val="84"/>
        </w:rPr>
        <w:t>政 府 采 购</w:t>
      </w:r>
    </w:p>
    <w:p>
      <w:pPr>
        <w:widowControl/>
        <w:jc w:val="center"/>
        <w:rPr>
          <w:rFonts w:eastAsia="黑体"/>
          <w:b/>
          <w:sz w:val="84"/>
          <w:szCs w:val="84"/>
        </w:rPr>
      </w:pPr>
      <w:r>
        <w:rPr>
          <w:rFonts w:hint="eastAsia" w:eastAsia="黑体"/>
          <w:b/>
          <w:sz w:val="84"/>
          <w:szCs w:val="84"/>
        </w:rPr>
        <w:t>响 应 文 件</w:t>
      </w:r>
    </w:p>
    <w:p>
      <w:pPr>
        <w:widowControl/>
        <w:jc w:val="center"/>
        <w:rPr>
          <w:rFonts w:eastAsia="黑体"/>
          <w:sz w:val="36"/>
          <w:szCs w:val="36"/>
        </w:rPr>
      </w:pPr>
    </w:p>
    <w:p>
      <w:pPr>
        <w:widowControl/>
        <w:ind w:firstLine="2567" w:firstLineChars="850"/>
        <w:rPr>
          <w:rFonts w:hint="eastAsia" w:eastAsia="黑体"/>
          <w:b/>
          <w:sz w:val="30"/>
          <w:szCs w:val="30"/>
          <w:lang w:eastAsia="zh-CN"/>
        </w:rPr>
      </w:pPr>
      <w:r>
        <w:rPr>
          <w:rFonts w:hint="eastAsia" w:eastAsia="黑体"/>
          <w:b/>
          <w:sz w:val="30"/>
          <w:szCs w:val="30"/>
        </w:rPr>
        <w:t xml:space="preserve">项目名称：        </w:t>
      </w:r>
    </w:p>
    <w:p>
      <w:pPr>
        <w:widowControl/>
        <w:ind w:firstLine="2567" w:firstLineChars="850"/>
        <w:rPr>
          <w:rFonts w:eastAsia="黑体"/>
          <w:b/>
          <w:sz w:val="30"/>
          <w:szCs w:val="30"/>
        </w:rPr>
      </w:pPr>
      <w:r>
        <w:rPr>
          <w:rFonts w:hint="eastAsia" w:eastAsia="黑体"/>
          <w:b/>
          <w:sz w:val="30"/>
          <w:szCs w:val="30"/>
        </w:rPr>
        <w:t xml:space="preserve">项目编号：  </w:t>
      </w:r>
    </w:p>
    <w:p>
      <w:pPr>
        <w:widowControl/>
        <w:jc w:val="center"/>
        <w:rPr>
          <w:rFonts w:eastAsia="黑体"/>
          <w:sz w:val="36"/>
          <w:szCs w:val="36"/>
        </w:rPr>
      </w:pPr>
    </w:p>
    <w:p>
      <w:pPr>
        <w:widowControl/>
        <w:jc w:val="center"/>
        <w:rPr>
          <w:rFonts w:eastAsia="黑体"/>
          <w:sz w:val="36"/>
          <w:szCs w:val="36"/>
        </w:rPr>
      </w:pPr>
    </w:p>
    <w:p>
      <w:pPr>
        <w:widowControl/>
        <w:jc w:val="center"/>
        <w:rPr>
          <w:rFonts w:eastAsia="黑体"/>
          <w:sz w:val="36"/>
          <w:szCs w:val="36"/>
        </w:rPr>
      </w:pPr>
    </w:p>
    <w:p>
      <w:pPr>
        <w:widowControl/>
        <w:jc w:val="center"/>
        <w:rPr>
          <w:rFonts w:eastAsia="黑体"/>
          <w:sz w:val="36"/>
          <w:szCs w:val="36"/>
        </w:rPr>
      </w:pPr>
    </w:p>
    <w:p>
      <w:pPr>
        <w:widowControl/>
        <w:jc w:val="center"/>
        <w:rPr>
          <w:rFonts w:eastAsia="黑体"/>
          <w:sz w:val="36"/>
          <w:szCs w:val="36"/>
        </w:rPr>
      </w:pPr>
    </w:p>
    <w:p>
      <w:pPr>
        <w:widowControl/>
        <w:jc w:val="center"/>
        <w:rPr>
          <w:rFonts w:eastAsia="黑体"/>
          <w:sz w:val="36"/>
          <w:szCs w:val="36"/>
        </w:rPr>
      </w:pPr>
    </w:p>
    <w:p>
      <w:pPr>
        <w:widowControl/>
        <w:spacing w:line="480" w:lineRule="auto"/>
        <w:ind w:firstLine="363" w:firstLineChars="150"/>
        <w:rPr>
          <w:rFonts w:eastAsia="黑体"/>
          <w:b/>
          <w:sz w:val="24"/>
        </w:rPr>
      </w:pPr>
      <w:r>
        <w:rPr>
          <w:rFonts w:hint="eastAsia" w:eastAsia="黑体"/>
          <w:b/>
          <w:sz w:val="24"/>
        </w:rPr>
        <w:t>报价单位：（公章）</w:t>
      </w:r>
    </w:p>
    <w:p>
      <w:pPr>
        <w:widowControl/>
        <w:spacing w:line="480" w:lineRule="auto"/>
        <w:ind w:firstLine="363" w:firstLineChars="150"/>
        <w:rPr>
          <w:rFonts w:eastAsia="黑体"/>
          <w:b/>
          <w:sz w:val="24"/>
        </w:rPr>
      </w:pPr>
      <w:r>
        <w:rPr>
          <w:rFonts w:hint="eastAsia" w:eastAsia="黑体"/>
          <w:b/>
          <w:sz w:val="24"/>
        </w:rPr>
        <w:t>法定代表人或</w:t>
      </w:r>
      <w:r>
        <w:rPr>
          <w:rFonts w:hint="eastAsia" w:ascii="黑体" w:hAnsi="黑体" w:eastAsia="黑体" w:cs="黑体"/>
          <w:b/>
          <w:sz w:val="24"/>
        </w:rPr>
        <w:t>授</w:t>
      </w:r>
      <w:r>
        <w:rPr>
          <w:rFonts w:hint="eastAsia" w:eastAsia="黑体"/>
          <w:b/>
          <w:sz w:val="24"/>
        </w:rPr>
        <w:t xml:space="preserve">权代表：                 </w:t>
      </w:r>
    </w:p>
    <w:p>
      <w:pPr>
        <w:widowControl/>
        <w:spacing w:line="480" w:lineRule="auto"/>
        <w:ind w:firstLine="363" w:firstLineChars="150"/>
        <w:rPr>
          <w:rFonts w:eastAsia="黑体"/>
          <w:b/>
          <w:sz w:val="24"/>
        </w:rPr>
      </w:pPr>
      <w:r>
        <w:rPr>
          <w:rFonts w:hint="eastAsia" w:eastAsia="黑体"/>
          <w:b/>
          <w:sz w:val="24"/>
        </w:rPr>
        <w:t>电    话：</w:t>
      </w:r>
    </w:p>
    <w:p>
      <w:pPr>
        <w:widowControl/>
        <w:spacing w:line="480" w:lineRule="auto"/>
        <w:ind w:firstLine="363" w:firstLineChars="150"/>
        <w:rPr>
          <w:rFonts w:eastAsia="黑体"/>
          <w:b/>
          <w:sz w:val="24"/>
        </w:rPr>
      </w:pPr>
      <w:r>
        <w:rPr>
          <w:rFonts w:hint="eastAsia" w:eastAsia="黑体"/>
          <w:b/>
          <w:sz w:val="24"/>
        </w:rPr>
        <w:t>磋商日期：</w:t>
      </w:r>
    </w:p>
    <w:p>
      <w:pPr>
        <w:snapToGrid w:val="0"/>
        <w:spacing w:line="360" w:lineRule="auto"/>
        <w:ind w:left="450"/>
        <w:jc w:val="center"/>
        <w:rPr>
          <w:rFonts w:eastAsia="黑体"/>
          <w:sz w:val="36"/>
          <w:szCs w:val="36"/>
        </w:rPr>
      </w:pPr>
    </w:p>
    <w:p>
      <w:pPr>
        <w:widowControl/>
        <w:spacing w:line="480" w:lineRule="auto"/>
        <w:ind w:firstLine="318" w:firstLineChars="150"/>
        <w:rPr>
          <w:rFonts w:hint="eastAsia" w:ascii="宋体" w:hAnsi="宋体" w:eastAsia="宋体" w:cs="宋体"/>
          <w:b/>
          <w:sz w:val="21"/>
          <w:szCs w:val="21"/>
          <w:highlight w:val="none"/>
        </w:rPr>
      </w:pPr>
    </w:p>
    <w:p>
      <w:pPr>
        <w:snapToGrid w:val="0"/>
        <w:spacing w:line="360" w:lineRule="auto"/>
        <w:ind w:left="450"/>
        <w:jc w:val="center"/>
        <w:rPr>
          <w:rFonts w:hint="eastAsia" w:ascii="宋体" w:hAnsi="宋体" w:eastAsia="宋体" w:cs="宋体"/>
          <w:sz w:val="21"/>
          <w:szCs w:val="21"/>
          <w:highlight w:val="none"/>
        </w:rPr>
      </w:pPr>
    </w:p>
    <w:p>
      <w:pPr>
        <w:snapToGrid w:val="0"/>
        <w:spacing w:line="360" w:lineRule="auto"/>
        <w:ind w:left="450"/>
        <w:jc w:val="center"/>
        <w:rPr>
          <w:rFonts w:hint="eastAsia" w:ascii="宋体" w:hAnsi="宋体" w:eastAsia="宋体" w:cs="宋体"/>
          <w:sz w:val="21"/>
          <w:szCs w:val="21"/>
          <w:highlight w:val="none"/>
        </w:rPr>
      </w:pPr>
    </w:p>
    <w:p>
      <w:pPr>
        <w:snapToGrid w:val="0"/>
        <w:spacing w:line="360" w:lineRule="auto"/>
        <w:ind w:left="450"/>
        <w:jc w:val="center"/>
        <w:rPr>
          <w:rFonts w:hint="eastAsia" w:ascii="宋体" w:hAnsi="宋体" w:eastAsia="宋体" w:cs="宋体"/>
          <w:bCs/>
          <w:sz w:val="21"/>
          <w:szCs w:val="21"/>
          <w:highlight w:val="none"/>
        </w:rPr>
      </w:pPr>
      <w:r>
        <w:rPr>
          <w:rFonts w:hint="eastAsia" w:ascii="宋体" w:hAnsi="宋体" w:eastAsia="宋体" w:cs="宋体"/>
          <w:bCs/>
          <w:sz w:val="21"/>
          <w:szCs w:val="21"/>
          <w:highlight w:val="none"/>
        </w:rPr>
        <w:br w:type="page"/>
      </w:r>
    </w:p>
    <w:p>
      <w:pPr>
        <w:snapToGrid w:val="0"/>
        <w:spacing w:line="360" w:lineRule="auto"/>
        <w:ind w:left="450"/>
        <w:jc w:val="center"/>
        <w:rPr>
          <w:rFonts w:hint="eastAsia" w:ascii="宋体" w:hAnsi="宋体" w:eastAsia="宋体" w:cs="宋体"/>
          <w:b/>
          <w:bCs w:val="0"/>
          <w:sz w:val="36"/>
          <w:szCs w:val="36"/>
          <w:highlight w:val="none"/>
        </w:rPr>
      </w:pPr>
      <w:r>
        <w:rPr>
          <w:rFonts w:hint="eastAsia" w:ascii="宋体" w:hAnsi="宋体" w:eastAsia="宋体" w:cs="宋体"/>
          <w:b/>
          <w:bCs w:val="0"/>
          <w:sz w:val="36"/>
          <w:szCs w:val="36"/>
          <w:highlight w:val="none"/>
        </w:rPr>
        <w:t>2、报  价  书</w:t>
      </w:r>
    </w:p>
    <w:p>
      <w:pPr>
        <w:snapToGrid w:val="0"/>
        <w:spacing w:line="48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致：(代理机构名称)</w:t>
      </w:r>
    </w:p>
    <w:p>
      <w:pPr>
        <w:snapToGrid w:val="0"/>
        <w:spacing w:line="480" w:lineRule="auto"/>
        <w:jc w:val="center"/>
        <w:rPr>
          <w:rFonts w:hint="eastAsia" w:ascii="宋体" w:hAnsi="宋体" w:eastAsia="宋体" w:cs="宋体"/>
          <w:sz w:val="21"/>
          <w:szCs w:val="21"/>
          <w:highlight w:val="none"/>
        </w:rPr>
      </w:pPr>
    </w:p>
    <w:p>
      <w:pPr>
        <w:snapToGrid w:val="0"/>
        <w:spacing w:line="48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根据贵方为</w:t>
      </w:r>
      <w:r>
        <w:rPr>
          <w:rFonts w:hint="eastAsia" w:ascii="宋体" w:hAnsi="宋体" w:eastAsia="宋体" w:cs="宋体"/>
          <w:sz w:val="21"/>
          <w:szCs w:val="21"/>
          <w:highlight w:val="none"/>
          <w:u w:val="single"/>
        </w:rPr>
        <w:t>(项目名称</w:t>
      </w:r>
      <w:r>
        <w:rPr>
          <w:rFonts w:hint="eastAsia" w:ascii="宋体" w:hAnsi="宋体" w:eastAsia="宋体" w:cs="宋体"/>
          <w:sz w:val="21"/>
          <w:szCs w:val="21"/>
          <w:highlight w:val="none"/>
        </w:rPr>
        <w:t>)项目</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包竞争性磋商采购的磋商邀请(</w:t>
      </w:r>
      <w:r>
        <w:rPr>
          <w:rFonts w:hint="eastAsia" w:ascii="宋体" w:hAnsi="宋体" w:eastAsia="宋体" w:cs="宋体"/>
          <w:sz w:val="21"/>
          <w:szCs w:val="21"/>
          <w:highlight w:val="none"/>
          <w:u w:val="single"/>
        </w:rPr>
        <w:t>采购编号</w:t>
      </w:r>
      <w:r>
        <w:rPr>
          <w:rFonts w:hint="eastAsia" w:ascii="宋体" w:hAnsi="宋体" w:eastAsia="宋体" w:cs="宋体"/>
          <w:sz w:val="21"/>
          <w:szCs w:val="21"/>
          <w:highlight w:val="none"/>
        </w:rPr>
        <w:t>)，签字代表(姓名、职务)经正式授权并代表供应商</w:t>
      </w:r>
      <w:r>
        <w:rPr>
          <w:rFonts w:hint="eastAsia" w:ascii="宋体" w:hAnsi="宋体" w:eastAsia="宋体" w:cs="宋体"/>
          <w:sz w:val="21"/>
          <w:szCs w:val="21"/>
          <w:highlight w:val="none"/>
          <w:u w:val="single"/>
        </w:rPr>
        <w:t>(供应商名称、地址</w:t>
      </w:r>
      <w:r>
        <w:rPr>
          <w:rFonts w:hint="eastAsia" w:ascii="宋体" w:hAnsi="宋体" w:eastAsia="宋体" w:cs="宋体"/>
          <w:sz w:val="21"/>
          <w:szCs w:val="21"/>
          <w:highlight w:val="none"/>
        </w:rPr>
        <w:t>)提交下述文件正本一份及副本四份:</w:t>
      </w:r>
    </w:p>
    <w:p>
      <w:pPr>
        <w:snapToGrid w:val="0"/>
        <w:spacing w:line="480" w:lineRule="auto"/>
        <w:ind w:firstLine="848" w:firstLineChars="4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据此函,签字代表宣布同意如下:</w:t>
      </w:r>
    </w:p>
    <w:p>
      <w:pPr>
        <w:snapToGrid w:val="0"/>
        <w:spacing w:line="480" w:lineRule="auto"/>
        <w:ind w:firstLine="848" w:firstLineChars="4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1. 供应商将按竞争性磋商文件的规定履行合同责任和义务。</w:t>
      </w:r>
    </w:p>
    <w:p>
      <w:pPr>
        <w:snapToGrid w:val="0"/>
        <w:spacing w:line="48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2. 供应商已详细审查全部竞争性磋商文件，我方愿</w:t>
      </w:r>
      <w:r>
        <w:rPr>
          <w:rFonts w:hint="eastAsia" w:ascii="宋体" w:hAnsi="宋体" w:eastAsia="宋体" w:cs="宋体"/>
          <w:sz w:val="21"/>
          <w:szCs w:val="21"/>
          <w:highlight w:val="none"/>
          <w:u w:val="single"/>
        </w:rPr>
        <w:t>（ 大写：      元；小写：      元，供货期为        ，质量标准：        。）</w:t>
      </w:r>
    </w:p>
    <w:p>
      <w:pPr>
        <w:snapToGrid w:val="0"/>
        <w:spacing w:line="480" w:lineRule="auto"/>
        <w:ind w:firstLine="848" w:firstLineChars="40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3. 本次采购有效期为自磋商日起</w:t>
      </w:r>
      <w:r>
        <w:rPr>
          <w:rFonts w:hint="eastAsia" w:ascii="宋体" w:hAnsi="宋体" w:eastAsia="宋体" w:cs="宋体"/>
          <w:sz w:val="21"/>
          <w:szCs w:val="21"/>
          <w:highlight w:val="none"/>
          <w:u w:val="single"/>
          <w:lang w:val="en-US" w:eastAsia="zh-CN"/>
        </w:rPr>
        <w:t>120</w:t>
      </w:r>
      <w:r>
        <w:rPr>
          <w:rFonts w:hint="eastAsia" w:ascii="宋体" w:hAnsi="宋体" w:eastAsia="宋体" w:cs="宋体"/>
          <w:sz w:val="21"/>
          <w:szCs w:val="21"/>
          <w:highlight w:val="none"/>
        </w:rPr>
        <w:t>个日历日。</w:t>
      </w:r>
    </w:p>
    <w:p>
      <w:pPr>
        <w:snapToGrid w:val="0"/>
        <w:spacing w:line="48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4. 如果在规定的磋商时间后，供应商在采购有效期内撤回响应文件，其磋商保证金将被贵方没收。</w:t>
      </w:r>
    </w:p>
    <w:p>
      <w:pPr>
        <w:snapToGrid w:val="0"/>
        <w:spacing w:line="480" w:lineRule="auto"/>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 供应商同意提供按照贵方可能要求的与其磋商有关的一切数据或资料。</w:t>
      </w:r>
    </w:p>
    <w:p>
      <w:pPr>
        <w:snapToGrid w:val="0"/>
        <w:spacing w:line="480" w:lineRule="auto"/>
        <w:ind w:firstLine="848" w:firstLineChars="400"/>
        <w:jc w:val="both"/>
        <w:rPr>
          <w:rFonts w:hint="eastAsia" w:ascii="宋体" w:hAnsi="宋体" w:eastAsia="宋体" w:cs="宋体"/>
          <w:sz w:val="21"/>
          <w:szCs w:val="21"/>
          <w:highlight w:val="none"/>
        </w:rPr>
      </w:pPr>
      <w:r>
        <w:rPr>
          <w:rFonts w:hint="eastAsia" w:ascii="宋体" w:hAnsi="宋体" w:eastAsia="宋体" w:cs="宋体"/>
          <w:sz w:val="21"/>
          <w:szCs w:val="21"/>
          <w:highlight w:val="none"/>
        </w:rPr>
        <w:t>6. 与本磋商有关的一切正式往来信函请寄:</w:t>
      </w:r>
    </w:p>
    <w:p>
      <w:pPr>
        <w:snapToGrid w:val="0"/>
        <w:spacing w:line="480" w:lineRule="auto"/>
        <w:jc w:val="center"/>
        <w:rPr>
          <w:rFonts w:hint="eastAsia" w:ascii="宋体" w:hAnsi="宋体" w:eastAsia="宋体" w:cs="宋体"/>
          <w:sz w:val="21"/>
          <w:szCs w:val="21"/>
          <w:highlight w:val="none"/>
        </w:rPr>
      </w:pPr>
    </w:p>
    <w:p>
      <w:pPr>
        <w:snapToGrid w:val="0"/>
        <w:spacing w:line="480" w:lineRule="auto"/>
        <w:jc w:val="left"/>
        <w:rPr>
          <w:rFonts w:hint="eastAsia" w:ascii="宋体" w:hAnsi="宋体" w:eastAsia="宋体" w:cs="宋体"/>
          <w:sz w:val="21"/>
          <w:szCs w:val="21"/>
          <w:highlight w:val="none"/>
        </w:rPr>
      </w:pPr>
    </w:p>
    <w:p>
      <w:pPr>
        <w:snapToGrid w:val="0"/>
        <w:spacing w:line="480" w:lineRule="auto"/>
        <w:ind w:firstLine="848" w:firstLineChars="4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地  址                                  传  真</w:t>
      </w:r>
    </w:p>
    <w:p>
      <w:pPr>
        <w:snapToGrid w:val="0"/>
        <w:spacing w:line="480" w:lineRule="auto"/>
        <w:ind w:firstLine="848" w:firstLineChars="4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电  话                                  电子函件</w:t>
      </w:r>
    </w:p>
    <w:p>
      <w:pPr>
        <w:snapToGrid w:val="0"/>
        <w:spacing w:line="480" w:lineRule="auto"/>
        <w:jc w:val="center"/>
        <w:rPr>
          <w:rFonts w:hint="eastAsia" w:ascii="宋体" w:hAnsi="宋体" w:eastAsia="宋体" w:cs="宋体"/>
          <w:sz w:val="21"/>
          <w:szCs w:val="21"/>
          <w:highlight w:val="none"/>
        </w:rPr>
      </w:pPr>
    </w:p>
    <w:p>
      <w:pPr>
        <w:snapToGrid w:val="0"/>
        <w:spacing w:line="480" w:lineRule="auto"/>
        <w:jc w:val="left"/>
        <w:rPr>
          <w:rFonts w:hint="eastAsia" w:ascii="宋体" w:hAnsi="宋体" w:eastAsia="宋体" w:cs="宋体"/>
          <w:sz w:val="21"/>
          <w:szCs w:val="21"/>
          <w:highlight w:val="none"/>
        </w:rPr>
      </w:pPr>
    </w:p>
    <w:p>
      <w:pPr>
        <w:snapToGrid w:val="0"/>
        <w:spacing w:line="480" w:lineRule="auto"/>
        <w:ind w:firstLine="424"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供应商代表签字：                             </w:t>
      </w:r>
    </w:p>
    <w:p>
      <w:pPr>
        <w:snapToGrid w:val="0"/>
        <w:spacing w:line="480" w:lineRule="auto"/>
        <w:jc w:val="left"/>
        <w:rPr>
          <w:rFonts w:hint="eastAsia" w:ascii="宋体" w:hAnsi="宋体" w:eastAsia="宋体" w:cs="宋体"/>
          <w:sz w:val="21"/>
          <w:szCs w:val="21"/>
          <w:highlight w:val="none"/>
        </w:rPr>
      </w:pPr>
    </w:p>
    <w:p>
      <w:pPr>
        <w:snapToGrid w:val="0"/>
        <w:spacing w:line="480" w:lineRule="auto"/>
        <w:ind w:firstLine="424" w:firstLineChars="200"/>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供应商名称：（公章）</w:t>
      </w:r>
    </w:p>
    <w:p>
      <w:pPr>
        <w:snapToGrid w:val="0"/>
        <w:spacing w:line="48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w:t>
      </w:r>
    </w:p>
    <w:p>
      <w:pPr>
        <w:snapToGrid w:val="0"/>
        <w:spacing w:line="480" w:lineRule="auto"/>
        <w:ind w:firstLine="424" w:firstLineChars="20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日  期：</w:t>
      </w:r>
      <w:r>
        <w:rPr>
          <w:rFonts w:hint="eastAsia" w:ascii="宋体" w:hAnsi="宋体" w:eastAsia="宋体" w:cs="宋体"/>
          <w:sz w:val="21"/>
          <w:szCs w:val="21"/>
          <w:highlight w:val="none"/>
        </w:rPr>
        <w:br w:type="page"/>
      </w:r>
      <w:r>
        <w:rPr>
          <w:rFonts w:hint="eastAsia" w:ascii="宋体" w:hAnsi="宋体" w:eastAsia="宋体" w:cs="宋体"/>
          <w:b/>
          <w:bCs/>
          <w:sz w:val="36"/>
          <w:szCs w:val="36"/>
          <w:highlight w:val="none"/>
        </w:rPr>
        <w:t>3、初始报价一览表</w:t>
      </w:r>
    </w:p>
    <w:p>
      <w:pPr>
        <w:snapToGrid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项目名称：------------------------------</w:t>
      </w:r>
    </w:p>
    <w:p>
      <w:pPr>
        <w:snapToGrid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项目编号：------------------------------</w:t>
      </w:r>
    </w:p>
    <w:tbl>
      <w:tblPr>
        <w:tblStyle w:val="19"/>
        <w:tblW w:w="95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2"/>
        <w:gridCol w:w="1628"/>
        <w:gridCol w:w="2238"/>
        <w:gridCol w:w="2461"/>
        <w:gridCol w:w="1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9" w:hRule="atLeast"/>
          <w:jc w:val="center"/>
        </w:trPr>
        <w:tc>
          <w:tcPr>
            <w:tcW w:w="1482" w:type="dxa"/>
            <w:vAlign w:val="center"/>
          </w:tcPr>
          <w:p>
            <w:pPr>
              <w:snapToGrid w:val="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序号</w:t>
            </w:r>
          </w:p>
          <w:p>
            <w:pPr>
              <w:snapToGrid w:val="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（包号）</w:t>
            </w:r>
          </w:p>
        </w:tc>
        <w:tc>
          <w:tcPr>
            <w:tcW w:w="1628" w:type="dxa"/>
            <w:vAlign w:val="center"/>
          </w:tcPr>
          <w:p>
            <w:pPr>
              <w:snapToGrid w:val="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货物名称</w:t>
            </w:r>
          </w:p>
        </w:tc>
        <w:tc>
          <w:tcPr>
            <w:tcW w:w="2238" w:type="dxa"/>
            <w:vAlign w:val="center"/>
          </w:tcPr>
          <w:p>
            <w:pPr>
              <w:snapToGrid w:val="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货物报价</w:t>
            </w:r>
          </w:p>
          <w:p>
            <w:pPr>
              <w:snapToGrid w:val="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价格（元）</w:t>
            </w:r>
          </w:p>
        </w:tc>
        <w:tc>
          <w:tcPr>
            <w:tcW w:w="2461" w:type="dxa"/>
            <w:vAlign w:val="center"/>
          </w:tcPr>
          <w:p>
            <w:pPr>
              <w:snapToGrid w:val="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货物市场</w:t>
            </w:r>
          </w:p>
          <w:p>
            <w:pPr>
              <w:snapToGrid w:val="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价格（元）</w:t>
            </w:r>
          </w:p>
        </w:tc>
        <w:tc>
          <w:tcPr>
            <w:tcW w:w="1753" w:type="dxa"/>
            <w:vAlign w:val="center"/>
          </w:tcPr>
          <w:p>
            <w:pPr>
              <w:snapToGrid w:val="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jc w:val="center"/>
        </w:trPr>
        <w:tc>
          <w:tcPr>
            <w:tcW w:w="1482" w:type="dxa"/>
          </w:tcPr>
          <w:p>
            <w:pPr>
              <w:snapToGrid w:val="0"/>
              <w:spacing w:line="360" w:lineRule="auto"/>
              <w:jc w:val="center"/>
              <w:rPr>
                <w:rFonts w:hint="eastAsia" w:ascii="宋体" w:hAnsi="宋体" w:eastAsia="宋体" w:cs="宋体"/>
                <w:sz w:val="24"/>
                <w:szCs w:val="24"/>
                <w:highlight w:val="none"/>
              </w:rPr>
            </w:pPr>
          </w:p>
        </w:tc>
        <w:tc>
          <w:tcPr>
            <w:tcW w:w="1628" w:type="dxa"/>
          </w:tcPr>
          <w:p>
            <w:pPr>
              <w:snapToGrid w:val="0"/>
              <w:spacing w:line="360" w:lineRule="auto"/>
              <w:rPr>
                <w:rFonts w:hint="eastAsia" w:ascii="宋体" w:hAnsi="宋体" w:eastAsia="宋体" w:cs="宋体"/>
                <w:sz w:val="24"/>
                <w:szCs w:val="24"/>
                <w:highlight w:val="none"/>
              </w:rPr>
            </w:pPr>
          </w:p>
        </w:tc>
        <w:tc>
          <w:tcPr>
            <w:tcW w:w="2238" w:type="dxa"/>
          </w:tcPr>
          <w:p>
            <w:pPr>
              <w:snapToGrid w:val="0"/>
              <w:spacing w:line="360" w:lineRule="auto"/>
              <w:rPr>
                <w:rFonts w:hint="eastAsia" w:ascii="宋体" w:hAnsi="宋体" w:eastAsia="宋体" w:cs="宋体"/>
                <w:sz w:val="24"/>
                <w:szCs w:val="24"/>
                <w:highlight w:val="none"/>
              </w:rPr>
            </w:pPr>
          </w:p>
        </w:tc>
        <w:tc>
          <w:tcPr>
            <w:tcW w:w="2461" w:type="dxa"/>
            <w:vAlign w:val="center"/>
          </w:tcPr>
          <w:p>
            <w:pPr>
              <w:snapToGrid w:val="0"/>
              <w:spacing w:line="360" w:lineRule="auto"/>
              <w:jc w:val="center"/>
              <w:rPr>
                <w:rFonts w:hint="eastAsia" w:ascii="宋体" w:hAnsi="宋体" w:eastAsia="宋体" w:cs="宋体"/>
                <w:sz w:val="24"/>
                <w:szCs w:val="24"/>
                <w:highlight w:val="none"/>
              </w:rPr>
            </w:pPr>
          </w:p>
        </w:tc>
        <w:tc>
          <w:tcPr>
            <w:tcW w:w="1753" w:type="dxa"/>
            <w:vAlign w:val="center"/>
          </w:tcPr>
          <w:p>
            <w:pPr>
              <w:snapToGrid w:val="0"/>
              <w:spacing w:line="36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1482" w:type="dxa"/>
          </w:tcPr>
          <w:p>
            <w:pPr>
              <w:snapToGrid w:val="0"/>
              <w:spacing w:line="360" w:lineRule="auto"/>
              <w:rPr>
                <w:rFonts w:hint="eastAsia" w:ascii="宋体" w:hAnsi="宋体" w:eastAsia="宋体" w:cs="宋体"/>
                <w:sz w:val="24"/>
                <w:szCs w:val="24"/>
                <w:highlight w:val="none"/>
              </w:rPr>
            </w:pPr>
          </w:p>
        </w:tc>
        <w:tc>
          <w:tcPr>
            <w:tcW w:w="1628" w:type="dxa"/>
          </w:tcPr>
          <w:p>
            <w:pPr>
              <w:snapToGrid w:val="0"/>
              <w:spacing w:line="360" w:lineRule="auto"/>
              <w:rPr>
                <w:rFonts w:hint="eastAsia" w:ascii="宋体" w:hAnsi="宋体" w:eastAsia="宋体" w:cs="宋体"/>
                <w:sz w:val="24"/>
                <w:szCs w:val="24"/>
                <w:highlight w:val="none"/>
              </w:rPr>
            </w:pPr>
          </w:p>
        </w:tc>
        <w:tc>
          <w:tcPr>
            <w:tcW w:w="2238" w:type="dxa"/>
          </w:tcPr>
          <w:p>
            <w:pPr>
              <w:snapToGrid w:val="0"/>
              <w:spacing w:line="360" w:lineRule="auto"/>
              <w:rPr>
                <w:rFonts w:hint="eastAsia" w:ascii="宋体" w:hAnsi="宋体" w:eastAsia="宋体" w:cs="宋体"/>
                <w:sz w:val="24"/>
                <w:szCs w:val="24"/>
                <w:highlight w:val="none"/>
              </w:rPr>
            </w:pPr>
          </w:p>
        </w:tc>
        <w:tc>
          <w:tcPr>
            <w:tcW w:w="2461" w:type="dxa"/>
            <w:vAlign w:val="center"/>
          </w:tcPr>
          <w:p>
            <w:pPr>
              <w:snapToGrid w:val="0"/>
              <w:spacing w:line="360" w:lineRule="auto"/>
              <w:jc w:val="center"/>
              <w:rPr>
                <w:rFonts w:hint="eastAsia" w:ascii="宋体" w:hAnsi="宋体" w:eastAsia="宋体" w:cs="宋体"/>
                <w:sz w:val="24"/>
                <w:szCs w:val="24"/>
                <w:highlight w:val="none"/>
              </w:rPr>
            </w:pPr>
          </w:p>
        </w:tc>
        <w:tc>
          <w:tcPr>
            <w:tcW w:w="1753" w:type="dxa"/>
            <w:vAlign w:val="center"/>
          </w:tcPr>
          <w:p>
            <w:pPr>
              <w:snapToGrid w:val="0"/>
              <w:spacing w:line="36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1482" w:type="dxa"/>
          </w:tcPr>
          <w:p>
            <w:pPr>
              <w:snapToGrid w:val="0"/>
              <w:spacing w:line="360" w:lineRule="auto"/>
              <w:rPr>
                <w:rFonts w:hint="eastAsia" w:ascii="宋体" w:hAnsi="宋体" w:eastAsia="宋体" w:cs="宋体"/>
                <w:sz w:val="24"/>
                <w:szCs w:val="24"/>
                <w:highlight w:val="none"/>
              </w:rPr>
            </w:pPr>
          </w:p>
        </w:tc>
        <w:tc>
          <w:tcPr>
            <w:tcW w:w="1628" w:type="dxa"/>
          </w:tcPr>
          <w:p>
            <w:pPr>
              <w:snapToGrid w:val="0"/>
              <w:spacing w:line="360" w:lineRule="auto"/>
              <w:rPr>
                <w:rFonts w:hint="eastAsia" w:ascii="宋体" w:hAnsi="宋体" w:eastAsia="宋体" w:cs="宋体"/>
                <w:sz w:val="24"/>
                <w:szCs w:val="24"/>
                <w:highlight w:val="none"/>
              </w:rPr>
            </w:pPr>
          </w:p>
        </w:tc>
        <w:tc>
          <w:tcPr>
            <w:tcW w:w="2238" w:type="dxa"/>
          </w:tcPr>
          <w:p>
            <w:pPr>
              <w:snapToGrid w:val="0"/>
              <w:spacing w:line="360" w:lineRule="auto"/>
              <w:rPr>
                <w:rFonts w:hint="eastAsia" w:ascii="宋体" w:hAnsi="宋体" w:eastAsia="宋体" w:cs="宋体"/>
                <w:sz w:val="24"/>
                <w:szCs w:val="24"/>
                <w:highlight w:val="none"/>
              </w:rPr>
            </w:pPr>
          </w:p>
        </w:tc>
        <w:tc>
          <w:tcPr>
            <w:tcW w:w="2461" w:type="dxa"/>
            <w:vAlign w:val="center"/>
          </w:tcPr>
          <w:p>
            <w:pPr>
              <w:snapToGrid w:val="0"/>
              <w:spacing w:line="360" w:lineRule="auto"/>
              <w:jc w:val="center"/>
              <w:rPr>
                <w:rFonts w:hint="eastAsia" w:ascii="宋体" w:hAnsi="宋体" w:eastAsia="宋体" w:cs="宋体"/>
                <w:sz w:val="24"/>
                <w:szCs w:val="24"/>
                <w:highlight w:val="none"/>
              </w:rPr>
            </w:pPr>
          </w:p>
        </w:tc>
        <w:tc>
          <w:tcPr>
            <w:tcW w:w="1753" w:type="dxa"/>
            <w:vAlign w:val="center"/>
          </w:tcPr>
          <w:p>
            <w:pPr>
              <w:snapToGrid w:val="0"/>
              <w:spacing w:line="36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1482" w:type="dxa"/>
          </w:tcPr>
          <w:p>
            <w:pPr>
              <w:snapToGrid w:val="0"/>
              <w:spacing w:line="360" w:lineRule="auto"/>
              <w:rPr>
                <w:rFonts w:hint="eastAsia" w:ascii="宋体" w:hAnsi="宋体" w:eastAsia="宋体" w:cs="宋体"/>
                <w:sz w:val="24"/>
                <w:szCs w:val="24"/>
                <w:highlight w:val="none"/>
              </w:rPr>
            </w:pPr>
          </w:p>
        </w:tc>
        <w:tc>
          <w:tcPr>
            <w:tcW w:w="1628" w:type="dxa"/>
          </w:tcPr>
          <w:p>
            <w:pPr>
              <w:snapToGrid w:val="0"/>
              <w:spacing w:line="360" w:lineRule="auto"/>
              <w:rPr>
                <w:rFonts w:hint="eastAsia" w:ascii="宋体" w:hAnsi="宋体" w:eastAsia="宋体" w:cs="宋体"/>
                <w:sz w:val="24"/>
                <w:szCs w:val="24"/>
                <w:highlight w:val="none"/>
              </w:rPr>
            </w:pPr>
          </w:p>
        </w:tc>
        <w:tc>
          <w:tcPr>
            <w:tcW w:w="2238" w:type="dxa"/>
          </w:tcPr>
          <w:p>
            <w:pPr>
              <w:snapToGrid w:val="0"/>
              <w:spacing w:line="360" w:lineRule="auto"/>
              <w:rPr>
                <w:rFonts w:hint="eastAsia" w:ascii="宋体" w:hAnsi="宋体" w:eastAsia="宋体" w:cs="宋体"/>
                <w:sz w:val="24"/>
                <w:szCs w:val="24"/>
                <w:highlight w:val="none"/>
              </w:rPr>
            </w:pPr>
          </w:p>
        </w:tc>
        <w:tc>
          <w:tcPr>
            <w:tcW w:w="2461" w:type="dxa"/>
            <w:vAlign w:val="center"/>
          </w:tcPr>
          <w:p>
            <w:pPr>
              <w:snapToGrid w:val="0"/>
              <w:spacing w:line="360" w:lineRule="auto"/>
              <w:jc w:val="center"/>
              <w:rPr>
                <w:rFonts w:hint="eastAsia" w:ascii="宋体" w:hAnsi="宋体" w:eastAsia="宋体" w:cs="宋体"/>
                <w:sz w:val="24"/>
                <w:szCs w:val="24"/>
                <w:highlight w:val="none"/>
              </w:rPr>
            </w:pPr>
          </w:p>
        </w:tc>
        <w:tc>
          <w:tcPr>
            <w:tcW w:w="1753" w:type="dxa"/>
            <w:vAlign w:val="center"/>
          </w:tcPr>
          <w:p>
            <w:pPr>
              <w:snapToGrid w:val="0"/>
              <w:spacing w:line="360" w:lineRule="auto"/>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jc w:val="center"/>
        </w:trPr>
        <w:tc>
          <w:tcPr>
            <w:tcW w:w="1482" w:type="dxa"/>
          </w:tcPr>
          <w:p>
            <w:pPr>
              <w:snapToGrid w:val="0"/>
              <w:spacing w:line="360" w:lineRule="auto"/>
              <w:rPr>
                <w:rFonts w:hint="eastAsia" w:ascii="宋体" w:hAnsi="宋体" w:eastAsia="宋体" w:cs="宋体"/>
                <w:sz w:val="24"/>
                <w:szCs w:val="24"/>
                <w:highlight w:val="none"/>
              </w:rPr>
            </w:pPr>
          </w:p>
        </w:tc>
        <w:tc>
          <w:tcPr>
            <w:tcW w:w="1628" w:type="dxa"/>
          </w:tcPr>
          <w:p>
            <w:pPr>
              <w:snapToGrid w:val="0"/>
              <w:spacing w:line="360" w:lineRule="auto"/>
              <w:rPr>
                <w:rFonts w:hint="eastAsia" w:ascii="宋体" w:hAnsi="宋体" w:eastAsia="宋体" w:cs="宋体"/>
                <w:sz w:val="24"/>
                <w:szCs w:val="24"/>
                <w:highlight w:val="none"/>
              </w:rPr>
            </w:pPr>
          </w:p>
        </w:tc>
        <w:tc>
          <w:tcPr>
            <w:tcW w:w="2238" w:type="dxa"/>
          </w:tcPr>
          <w:p>
            <w:pPr>
              <w:snapToGrid w:val="0"/>
              <w:spacing w:line="360" w:lineRule="auto"/>
              <w:rPr>
                <w:rFonts w:hint="eastAsia" w:ascii="宋体" w:hAnsi="宋体" w:eastAsia="宋体" w:cs="宋体"/>
                <w:sz w:val="24"/>
                <w:szCs w:val="24"/>
                <w:highlight w:val="none"/>
              </w:rPr>
            </w:pPr>
          </w:p>
        </w:tc>
        <w:tc>
          <w:tcPr>
            <w:tcW w:w="2461" w:type="dxa"/>
            <w:vAlign w:val="center"/>
          </w:tcPr>
          <w:p>
            <w:pPr>
              <w:snapToGrid w:val="0"/>
              <w:spacing w:line="360" w:lineRule="auto"/>
              <w:jc w:val="center"/>
              <w:rPr>
                <w:rFonts w:hint="eastAsia" w:ascii="宋体" w:hAnsi="宋体" w:eastAsia="宋体" w:cs="宋体"/>
                <w:sz w:val="24"/>
                <w:szCs w:val="24"/>
                <w:highlight w:val="none"/>
              </w:rPr>
            </w:pPr>
          </w:p>
        </w:tc>
        <w:tc>
          <w:tcPr>
            <w:tcW w:w="1753" w:type="dxa"/>
            <w:vAlign w:val="center"/>
          </w:tcPr>
          <w:p>
            <w:pPr>
              <w:snapToGrid w:val="0"/>
              <w:spacing w:line="360" w:lineRule="auto"/>
              <w:jc w:val="center"/>
              <w:rPr>
                <w:rFonts w:hint="eastAsia" w:ascii="宋体" w:hAnsi="宋体" w:eastAsia="宋体" w:cs="宋体"/>
                <w:sz w:val="24"/>
                <w:szCs w:val="24"/>
                <w:highlight w:val="none"/>
              </w:rPr>
            </w:pPr>
          </w:p>
        </w:tc>
      </w:tr>
    </w:tbl>
    <w:p>
      <w:pPr>
        <w:snapToGrid w:val="0"/>
        <w:spacing w:line="360" w:lineRule="auto"/>
        <w:jc w:val="left"/>
        <w:rPr>
          <w:rFonts w:hint="eastAsia" w:ascii="宋体" w:hAnsi="宋体" w:eastAsia="宋体" w:cs="宋体"/>
          <w:sz w:val="24"/>
          <w:szCs w:val="24"/>
          <w:highlight w:val="none"/>
        </w:rPr>
      </w:pPr>
    </w:p>
    <w:p>
      <w:pPr>
        <w:snapToGrid w:val="0"/>
        <w:spacing w:line="360" w:lineRule="auto"/>
        <w:jc w:val="left"/>
        <w:rPr>
          <w:rFonts w:hint="eastAsia" w:ascii="宋体" w:hAnsi="宋体" w:eastAsia="宋体" w:cs="宋体"/>
          <w:sz w:val="24"/>
          <w:szCs w:val="24"/>
          <w:highlight w:val="none"/>
        </w:rPr>
      </w:pPr>
    </w:p>
    <w:p>
      <w:pPr>
        <w:snapToGrid w:val="0"/>
        <w:spacing w:line="360" w:lineRule="auto"/>
        <w:ind w:firstLine="484"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供应商全称：</w:t>
      </w:r>
    </w:p>
    <w:p>
      <w:pPr>
        <w:snapToGrid w:val="0"/>
        <w:spacing w:line="360" w:lineRule="auto"/>
        <w:ind w:firstLine="484"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日期： 年 月 日</w:t>
      </w:r>
    </w:p>
    <w:p>
      <w:pPr>
        <w:snapToGrid w:val="0"/>
        <w:spacing w:line="360" w:lineRule="auto"/>
        <w:jc w:val="left"/>
        <w:rPr>
          <w:rFonts w:hint="eastAsia" w:ascii="宋体" w:hAnsi="宋体" w:eastAsia="宋体" w:cs="宋体"/>
          <w:sz w:val="21"/>
          <w:szCs w:val="21"/>
          <w:highlight w:val="none"/>
        </w:rPr>
      </w:pPr>
    </w:p>
    <w:p>
      <w:pPr>
        <w:snapToGrid w:val="0"/>
        <w:spacing w:line="360" w:lineRule="auto"/>
        <w:jc w:val="left"/>
        <w:rPr>
          <w:rFonts w:hint="eastAsia" w:ascii="宋体" w:hAnsi="宋体" w:eastAsia="宋体" w:cs="宋体"/>
          <w:sz w:val="21"/>
          <w:szCs w:val="21"/>
          <w:highlight w:val="none"/>
        </w:rPr>
      </w:pPr>
    </w:p>
    <w:p>
      <w:pPr>
        <w:snapToGrid w:val="0"/>
        <w:spacing w:line="360" w:lineRule="auto"/>
        <w:jc w:val="left"/>
        <w:rPr>
          <w:rFonts w:hint="eastAsia" w:ascii="宋体" w:hAnsi="宋体" w:eastAsia="宋体" w:cs="宋体"/>
          <w:sz w:val="21"/>
          <w:szCs w:val="21"/>
          <w:highlight w:val="none"/>
        </w:rPr>
      </w:pPr>
    </w:p>
    <w:p>
      <w:pPr>
        <w:snapToGrid w:val="0"/>
        <w:spacing w:line="360" w:lineRule="auto"/>
        <w:jc w:val="left"/>
        <w:rPr>
          <w:rFonts w:hint="eastAsia" w:ascii="宋体" w:hAnsi="宋体" w:eastAsia="宋体" w:cs="宋体"/>
          <w:sz w:val="21"/>
          <w:szCs w:val="21"/>
          <w:highlight w:val="none"/>
        </w:rPr>
      </w:pPr>
    </w:p>
    <w:p>
      <w:pPr>
        <w:snapToGrid w:val="0"/>
        <w:spacing w:line="360" w:lineRule="auto"/>
        <w:jc w:val="left"/>
        <w:rPr>
          <w:rFonts w:hint="eastAsia" w:ascii="宋体" w:hAnsi="宋体" w:eastAsia="宋体" w:cs="宋体"/>
          <w:sz w:val="21"/>
          <w:szCs w:val="21"/>
          <w:highlight w:val="none"/>
        </w:rPr>
      </w:pPr>
    </w:p>
    <w:p>
      <w:pPr>
        <w:snapToGrid w:val="0"/>
        <w:spacing w:line="360" w:lineRule="auto"/>
        <w:jc w:val="left"/>
        <w:rPr>
          <w:rFonts w:hint="eastAsia" w:ascii="宋体" w:hAnsi="宋体" w:eastAsia="宋体" w:cs="宋体"/>
          <w:sz w:val="21"/>
          <w:szCs w:val="21"/>
          <w:highlight w:val="none"/>
        </w:rPr>
      </w:pPr>
    </w:p>
    <w:p>
      <w:pPr>
        <w:snapToGrid w:val="0"/>
        <w:spacing w:line="360" w:lineRule="auto"/>
        <w:jc w:val="left"/>
        <w:rPr>
          <w:rFonts w:hint="eastAsia" w:ascii="宋体" w:hAnsi="宋体" w:eastAsia="宋体" w:cs="宋体"/>
          <w:sz w:val="21"/>
          <w:szCs w:val="21"/>
          <w:highlight w:val="none"/>
        </w:rPr>
      </w:pPr>
    </w:p>
    <w:p>
      <w:pPr>
        <w:snapToGrid w:val="0"/>
        <w:spacing w:line="360" w:lineRule="auto"/>
        <w:jc w:val="left"/>
        <w:rPr>
          <w:rFonts w:hint="eastAsia" w:ascii="宋体" w:hAnsi="宋体" w:eastAsia="宋体" w:cs="宋体"/>
          <w:sz w:val="21"/>
          <w:szCs w:val="21"/>
          <w:highlight w:val="none"/>
        </w:rPr>
      </w:pPr>
      <w:r>
        <w:rPr>
          <w:rFonts w:hint="eastAsia" w:ascii="宋体" w:hAnsi="宋体" w:eastAsia="宋体" w:cs="宋体"/>
          <w:sz w:val="21"/>
          <w:szCs w:val="21"/>
          <w:highlight w:val="none"/>
        </w:rPr>
        <w:br w:type="page"/>
      </w:r>
    </w:p>
    <w:p>
      <w:pPr>
        <w:snapToGrid w:val="0"/>
        <w:spacing w:line="360" w:lineRule="auto"/>
        <w:jc w:val="center"/>
        <w:rPr>
          <w:rFonts w:hint="eastAsia" w:ascii="宋体" w:hAnsi="宋体" w:eastAsia="宋体" w:cs="宋体"/>
          <w:b/>
          <w:bCs/>
          <w:sz w:val="36"/>
          <w:szCs w:val="36"/>
          <w:highlight w:val="none"/>
        </w:rPr>
      </w:pPr>
      <w:r>
        <w:rPr>
          <w:rFonts w:hint="eastAsia" w:ascii="宋体" w:hAnsi="宋体" w:eastAsia="宋体" w:cs="宋体"/>
          <w:b/>
          <w:bCs/>
          <w:sz w:val="36"/>
          <w:szCs w:val="36"/>
          <w:highlight w:val="none"/>
        </w:rPr>
        <w:t>4、详细配置明细表</w:t>
      </w:r>
    </w:p>
    <w:p>
      <w:pPr>
        <w:snapToGrid w:val="0"/>
        <w:jc w:val="center"/>
        <w:rPr>
          <w:rFonts w:hint="eastAsia" w:ascii="宋体" w:hAnsi="宋体" w:eastAsia="宋体" w:cs="宋体"/>
          <w:sz w:val="24"/>
          <w:szCs w:val="24"/>
          <w:highlight w:val="none"/>
        </w:rPr>
      </w:pPr>
    </w:p>
    <w:p>
      <w:pPr>
        <w:snapToGrid w:val="0"/>
        <w:spacing w:line="360" w:lineRule="auto"/>
        <w:ind w:firstLine="103" w:firstLineChars="43"/>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项目名称：------------------------------</w:t>
      </w:r>
    </w:p>
    <w:p>
      <w:pPr>
        <w:snapToGrid w:val="0"/>
        <w:spacing w:line="360" w:lineRule="auto"/>
        <w:ind w:firstLine="103" w:firstLineChars="43"/>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项目编号：------------------------------</w:t>
      </w:r>
    </w:p>
    <w:p>
      <w:pPr>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（第     包）</w:t>
      </w:r>
    </w:p>
    <w:tbl>
      <w:tblPr>
        <w:tblStyle w:val="19"/>
        <w:tblW w:w="85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207"/>
        <w:gridCol w:w="2818"/>
        <w:gridCol w:w="711"/>
        <w:gridCol w:w="713"/>
        <w:gridCol w:w="745"/>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900" w:type="dxa"/>
            <w:vAlign w:val="center"/>
          </w:tcPr>
          <w:p>
            <w:pPr>
              <w:snapToGrid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序 号</w:t>
            </w:r>
          </w:p>
        </w:tc>
        <w:tc>
          <w:tcPr>
            <w:tcW w:w="1207" w:type="dxa"/>
            <w:vAlign w:val="center"/>
          </w:tcPr>
          <w:p>
            <w:pPr>
              <w:snapToGrid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货物名称</w:t>
            </w:r>
          </w:p>
        </w:tc>
        <w:tc>
          <w:tcPr>
            <w:tcW w:w="2818" w:type="dxa"/>
            <w:vAlign w:val="center"/>
          </w:tcPr>
          <w:p>
            <w:pPr>
              <w:snapToGrid w:val="0"/>
              <w:spacing w:line="360" w:lineRule="auto"/>
              <w:ind w:firstLine="242" w:firstLineChars="10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主要技术参数和要求</w:t>
            </w:r>
          </w:p>
        </w:tc>
        <w:tc>
          <w:tcPr>
            <w:tcW w:w="711" w:type="dxa"/>
            <w:vAlign w:val="center"/>
          </w:tcPr>
          <w:p>
            <w:pPr>
              <w:snapToGrid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品牌型号产地</w:t>
            </w:r>
          </w:p>
        </w:tc>
        <w:tc>
          <w:tcPr>
            <w:tcW w:w="713" w:type="dxa"/>
            <w:vAlign w:val="center"/>
          </w:tcPr>
          <w:p>
            <w:pPr>
              <w:snapToGrid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数量</w:t>
            </w:r>
          </w:p>
        </w:tc>
        <w:tc>
          <w:tcPr>
            <w:tcW w:w="745" w:type="dxa"/>
            <w:vAlign w:val="center"/>
          </w:tcPr>
          <w:p>
            <w:pPr>
              <w:snapToGrid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报价</w:t>
            </w:r>
          </w:p>
        </w:tc>
        <w:tc>
          <w:tcPr>
            <w:tcW w:w="1481" w:type="dxa"/>
            <w:vAlign w:val="center"/>
          </w:tcPr>
          <w:p>
            <w:pPr>
              <w:snapToGrid w:val="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合  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900" w:type="dxa"/>
            <w:vAlign w:val="center"/>
          </w:tcPr>
          <w:p>
            <w:pPr>
              <w:snapToGrid w:val="0"/>
              <w:spacing w:line="360" w:lineRule="auto"/>
              <w:jc w:val="center"/>
              <w:rPr>
                <w:rFonts w:hint="eastAsia" w:ascii="宋体" w:hAnsi="宋体" w:eastAsia="宋体" w:cs="宋体"/>
                <w:sz w:val="24"/>
                <w:szCs w:val="24"/>
                <w:highlight w:val="none"/>
              </w:rPr>
            </w:pPr>
          </w:p>
        </w:tc>
        <w:tc>
          <w:tcPr>
            <w:tcW w:w="1207" w:type="dxa"/>
          </w:tcPr>
          <w:p>
            <w:pPr>
              <w:snapToGrid w:val="0"/>
              <w:spacing w:line="360" w:lineRule="auto"/>
              <w:jc w:val="distribute"/>
              <w:rPr>
                <w:rFonts w:hint="eastAsia" w:ascii="宋体" w:hAnsi="宋体" w:eastAsia="宋体" w:cs="宋体"/>
                <w:sz w:val="24"/>
                <w:szCs w:val="24"/>
                <w:highlight w:val="none"/>
              </w:rPr>
            </w:pPr>
          </w:p>
        </w:tc>
        <w:tc>
          <w:tcPr>
            <w:tcW w:w="2818" w:type="dxa"/>
          </w:tcPr>
          <w:p>
            <w:pPr>
              <w:snapToGrid w:val="0"/>
              <w:spacing w:line="360" w:lineRule="auto"/>
              <w:rPr>
                <w:rFonts w:hint="eastAsia" w:ascii="宋体" w:hAnsi="宋体" w:eastAsia="宋体" w:cs="宋体"/>
                <w:sz w:val="24"/>
                <w:szCs w:val="24"/>
                <w:highlight w:val="none"/>
              </w:rPr>
            </w:pPr>
          </w:p>
        </w:tc>
        <w:tc>
          <w:tcPr>
            <w:tcW w:w="711" w:type="dxa"/>
          </w:tcPr>
          <w:p>
            <w:pPr>
              <w:snapToGrid w:val="0"/>
              <w:spacing w:line="360" w:lineRule="auto"/>
              <w:jc w:val="center"/>
              <w:rPr>
                <w:rFonts w:hint="eastAsia" w:ascii="宋体" w:hAnsi="宋体" w:eastAsia="宋体" w:cs="宋体"/>
                <w:sz w:val="24"/>
                <w:szCs w:val="24"/>
                <w:highlight w:val="none"/>
              </w:rPr>
            </w:pPr>
          </w:p>
        </w:tc>
        <w:tc>
          <w:tcPr>
            <w:tcW w:w="713" w:type="dxa"/>
          </w:tcPr>
          <w:p>
            <w:pPr>
              <w:snapToGrid w:val="0"/>
              <w:spacing w:line="360" w:lineRule="auto"/>
              <w:jc w:val="center"/>
              <w:rPr>
                <w:rFonts w:hint="eastAsia" w:ascii="宋体" w:hAnsi="宋体" w:eastAsia="宋体" w:cs="宋体"/>
                <w:sz w:val="24"/>
                <w:szCs w:val="24"/>
                <w:highlight w:val="none"/>
              </w:rPr>
            </w:pPr>
          </w:p>
        </w:tc>
        <w:tc>
          <w:tcPr>
            <w:tcW w:w="745" w:type="dxa"/>
            <w:vAlign w:val="center"/>
          </w:tcPr>
          <w:p>
            <w:pPr>
              <w:snapToGrid w:val="0"/>
              <w:spacing w:line="360" w:lineRule="auto"/>
              <w:jc w:val="center"/>
              <w:rPr>
                <w:rFonts w:hint="eastAsia" w:ascii="宋体" w:hAnsi="宋体" w:eastAsia="宋体" w:cs="宋体"/>
                <w:sz w:val="24"/>
                <w:szCs w:val="24"/>
                <w:highlight w:val="none"/>
              </w:rPr>
            </w:pPr>
          </w:p>
        </w:tc>
        <w:tc>
          <w:tcPr>
            <w:tcW w:w="1481" w:type="dxa"/>
          </w:tcPr>
          <w:p>
            <w:pPr>
              <w:snapToGrid w:val="0"/>
              <w:spacing w:line="360" w:lineRule="auto"/>
              <w:ind w:left="450"/>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900" w:type="dxa"/>
            <w:vAlign w:val="center"/>
          </w:tcPr>
          <w:p>
            <w:pPr>
              <w:snapToGrid w:val="0"/>
              <w:spacing w:line="360" w:lineRule="auto"/>
              <w:jc w:val="center"/>
              <w:rPr>
                <w:rFonts w:hint="eastAsia" w:ascii="宋体" w:hAnsi="宋体" w:eastAsia="宋体" w:cs="宋体"/>
                <w:sz w:val="24"/>
                <w:szCs w:val="24"/>
                <w:highlight w:val="none"/>
              </w:rPr>
            </w:pPr>
          </w:p>
        </w:tc>
        <w:tc>
          <w:tcPr>
            <w:tcW w:w="1207" w:type="dxa"/>
          </w:tcPr>
          <w:p>
            <w:pPr>
              <w:snapToGrid w:val="0"/>
              <w:spacing w:line="360" w:lineRule="auto"/>
              <w:jc w:val="distribute"/>
              <w:rPr>
                <w:rFonts w:hint="eastAsia" w:ascii="宋体" w:hAnsi="宋体" w:eastAsia="宋体" w:cs="宋体"/>
                <w:sz w:val="24"/>
                <w:szCs w:val="24"/>
                <w:highlight w:val="none"/>
              </w:rPr>
            </w:pPr>
          </w:p>
        </w:tc>
        <w:tc>
          <w:tcPr>
            <w:tcW w:w="2818" w:type="dxa"/>
          </w:tcPr>
          <w:p>
            <w:pPr>
              <w:snapToGrid w:val="0"/>
              <w:spacing w:line="360" w:lineRule="auto"/>
              <w:rPr>
                <w:rFonts w:hint="eastAsia" w:ascii="宋体" w:hAnsi="宋体" w:eastAsia="宋体" w:cs="宋体"/>
                <w:sz w:val="24"/>
                <w:szCs w:val="24"/>
                <w:highlight w:val="none"/>
              </w:rPr>
            </w:pPr>
          </w:p>
        </w:tc>
        <w:tc>
          <w:tcPr>
            <w:tcW w:w="711" w:type="dxa"/>
          </w:tcPr>
          <w:p>
            <w:pPr>
              <w:snapToGrid w:val="0"/>
              <w:spacing w:line="360" w:lineRule="auto"/>
              <w:jc w:val="center"/>
              <w:rPr>
                <w:rFonts w:hint="eastAsia" w:ascii="宋体" w:hAnsi="宋体" w:eastAsia="宋体" w:cs="宋体"/>
                <w:sz w:val="24"/>
                <w:szCs w:val="24"/>
                <w:highlight w:val="none"/>
              </w:rPr>
            </w:pPr>
          </w:p>
        </w:tc>
        <w:tc>
          <w:tcPr>
            <w:tcW w:w="713" w:type="dxa"/>
          </w:tcPr>
          <w:p>
            <w:pPr>
              <w:snapToGrid w:val="0"/>
              <w:spacing w:line="360" w:lineRule="auto"/>
              <w:jc w:val="center"/>
              <w:rPr>
                <w:rFonts w:hint="eastAsia" w:ascii="宋体" w:hAnsi="宋体" w:eastAsia="宋体" w:cs="宋体"/>
                <w:sz w:val="24"/>
                <w:szCs w:val="24"/>
                <w:highlight w:val="none"/>
              </w:rPr>
            </w:pPr>
          </w:p>
        </w:tc>
        <w:tc>
          <w:tcPr>
            <w:tcW w:w="745" w:type="dxa"/>
            <w:vAlign w:val="center"/>
          </w:tcPr>
          <w:p>
            <w:pPr>
              <w:snapToGrid w:val="0"/>
              <w:spacing w:line="360" w:lineRule="auto"/>
              <w:jc w:val="center"/>
              <w:rPr>
                <w:rFonts w:hint="eastAsia" w:ascii="宋体" w:hAnsi="宋体" w:eastAsia="宋体" w:cs="宋体"/>
                <w:sz w:val="24"/>
                <w:szCs w:val="24"/>
                <w:highlight w:val="none"/>
              </w:rPr>
            </w:pPr>
          </w:p>
        </w:tc>
        <w:tc>
          <w:tcPr>
            <w:tcW w:w="1481" w:type="dxa"/>
          </w:tcPr>
          <w:p>
            <w:pPr>
              <w:snapToGrid w:val="0"/>
              <w:spacing w:line="360" w:lineRule="auto"/>
              <w:ind w:left="450"/>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5" w:hRule="atLeast"/>
          <w:jc w:val="center"/>
        </w:trPr>
        <w:tc>
          <w:tcPr>
            <w:tcW w:w="900" w:type="dxa"/>
            <w:vAlign w:val="center"/>
          </w:tcPr>
          <w:p>
            <w:pPr>
              <w:snapToGrid w:val="0"/>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合计</w:t>
            </w:r>
          </w:p>
        </w:tc>
        <w:tc>
          <w:tcPr>
            <w:tcW w:w="7675" w:type="dxa"/>
            <w:gridSpan w:val="6"/>
          </w:tcPr>
          <w:p>
            <w:pPr>
              <w:snapToGrid w:val="0"/>
              <w:spacing w:line="360" w:lineRule="auto"/>
              <w:ind w:left="450"/>
              <w:rPr>
                <w:rFonts w:hint="eastAsia" w:ascii="宋体" w:hAnsi="宋体" w:eastAsia="宋体" w:cs="宋体"/>
                <w:sz w:val="24"/>
                <w:szCs w:val="24"/>
                <w:highlight w:val="none"/>
              </w:rPr>
            </w:pPr>
          </w:p>
        </w:tc>
      </w:tr>
    </w:tbl>
    <w:p>
      <w:pPr>
        <w:snapToGrid w:val="0"/>
        <w:spacing w:line="360" w:lineRule="auto"/>
        <w:jc w:val="center"/>
        <w:rPr>
          <w:rFonts w:hint="eastAsia" w:ascii="宋体" w:hAnsi="宋体" w:eastAsia="宋体" w:cs="宋体"/>
          <w:sz w:val="24"/>
          <w:szCs w:val="24"/>
          <w:highlight w:val="none"/>
        </w:rPr>
      </w:pPr>
    </w:p>
    <w:p>
      <w:pPr>
        <w:snapToGrid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供应商全称：</w:t>
      </w:r>
    </w:p>
    <w:p>
      <w:pPr>
        <w:snapToGrid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日期： 年 月 日</w:t>
      </w:r>
    </w:p>
    <w:p>
      <w:pPr>
        <w:snapToGrid w:val="0"/>
        <w:spacing w:line="360" w:lineRule="auto"/>
        <w:jc w:val="center"/>
        <w:rPr>
          <w:rFonts w:hint="eastAsia" w:ascii="宋体" w:hAnsi="宋体" w:eastAsia="宋体" w:cs="宋体"/>
          <w:sz w:val="21"/>
          <w:szCs w:val="21"/>
          <w:highlight w:val="none"/>
        </w:rPr>
      </w:pPr>
    </w:p>
    <w:p>
      <w:pPr>
        <w:snapToGrid w:val="0"/>
        <w:spacing w:line="360" w:lineRule="auto"/>
        <w:jc w:val="center"/>
        <w:rPr>
          <w:rFonts w:hint="eastAsia" w:ascii="宋体" w:hAnsi="宋体" w:eastAsia="宋体" w:cs="宋体"/>
          <w:sz w:val="21"/>
          <w:szCs w:val="21"/>
          <w:highlight w:val="none"/>
        </w:rPr>
      </w:pPr>
    </w:p>
    <w:p>
      <w:pPr>
        <w:snapToGrid w:val="0"/>
        <w:spacing w:line="360" w:lineRule="auto"/>
        <w:jc w:val="center"/>
        <w:rPr>
          <w:rFonts w:hint="eastAsia" w:ascii="宋体" w:hAnsi="宋体" w:eastAsia="宋体" w:cs="宋体"/>
          <w:sz w:val="21"/>
          <w:szCs w:val="21"/>
          <w:highlight w:val="none"/>
        </w:rPr>
      </w:pPr>
    </w:p>
    <w:p>
      <w:pPr>
        <w:snapToGrid w:val="0"/>
        <w:spacing w:line="360" w:lineRule="auto"/>
        <w:jc w:val="center"/>
        <w:rPr>
          <w:rFonts w:hint="eastAsia" w:ascii="宋体" w:hAnsi="宋体" w:eastAsia="宋体" w:cs="宋体"/>
          <w:sz w:val="21"/>
          <w:szCs w:val="21"/>
          <w:highlight w:val="none"/>
        </w:rPr>
      </w:pPr>
    </w:p>
    <w:p>
      <w:pPr>
        <w:snapToGrid w:val="0"/>
        <w:spacing w:line="360" w:lineRule="auto"/>
        <w:jc w:val="center"/>
        <w:rPr>
          <w:rFonts w:hint="eastAsia" w:ascii="宋体" w:hAnsi="宋体" w:eastAsia="宋体" w:cs="宋体"/>
          <w:sz w:val="21"/>
          <w:szCs w:val="21"/>
          <w:highlight w:val="none"/>
        </w:rPr>
      </w:pPr>
    </w:p>
    <w:p>
      <w:pPr>
        <w:snapToGrid w:val="0"/>
        <w:spacing w:line="360" w:lineRule="auto"/>
        <w:jc w:val="center"/>
        <w:rPr>
          <w:rFonts w:hint="eastAsia" w:ascii="宋体" w:hAnsi="宋体" w:eastAsia="宋体" w:cs="宋体"/>
          <w:sz w:val="21"/>
          <w:szCs w:val="21"/>
          <w:highlight w:val="none"/>
        </w:rPr>
      </w:pPr>
    </w:p>
    <w:p>
      <w:pPr>
        <w:snapToGrid w:val="0"/>
        <w:spacing w:line="360" w:lineRule="auto"/>
        <w:jc w:val="center"/>
        <w:rPr>
          <w:rFonts w:hint="eastAsia" w:ascii="宋体" w:hAnsi="宋体" w:eastAsia="宋体" w:cs="宋体"/>
          <w:sz w:val="21"/>
          <w:szCs w:val="21"/>
          <w:highlight w:val="none"/>
        </w:rPr>
      </w:pPr>
    </w:p>
    <w:p>
      <w:pPr>
        <w:snapToGrid w:val="0"/>
        <w:rPr>
          <w:rFonts w:hint="eastAsia" w:ascii="宋体" w:hAnsi="宋体" w:eastAsia="宋体" w:cs="宋体"/>
          <w:sz w:val="21"/>
          <w:szCs w:val="21"/>
          <w:highlight w:val="none"/>
        </w:rPr>
      </w:pPr>
      <w:r>
        <w:rPr>
          <w:rFonts w:hint="eastAsia" w:ascii="宋体" w:hAnsi="宋体" w:eastAsia="宋体" w:cs="宋体"/>
          <w:sz w:val="21"/>
          <w:szCs w:val="21"/>
          <w:highlight w:val="none"/>
        </w:rPr>
        <w:br w:type="page"/>
      </w:r>
    </w:p>
    <w:p>
      <w:pPr>
        <w:snapToGrid w:val="0"/>
        <w:spacing w:line="480" w:lineRule="auto"/>
        <w:ind w:left="450"/>
        <w:jc w:val="center"/>
        <w:rPr>
          <w:rFonts w:hint="eastAsia" w:ascii="黑体" w:hAnsi="黑体" w:eastAsia="黑体" w:cs="黑体"/>
          <w:b/>
          <w:bCs/>
          <w:sz w:val="36"/>
          <w:szCs w:val="36"/>
          <w:highlight w:val="none"/>
        </w:rPr>
      </w:pPr>
      <w:r>
        <w:rPr>
          <w:rFonts w:hint="eastAsia" w:ascii="黑体" w:hAnsi="黑体" w:eastAsia="黑体" w:cs="黑体"/>
          <w:b/>
          <w:bCs/>
          <w:sz w:val="36"/>
          <w:szCs w:val="36"/>
          <w:highlight w:val="none"/>
        </w:rPr>
        <w:t>5、技术偏离表</w:t>
      </w:r>
    </w:p>
    <w:p>
      <w:pPr>
        <w:snapToGrid w:val="0"/>
        <w:spacing w:line="360" w:lineRule="auto"/>
        <w:ind w:firstLine="316" w:firstLineChars="131"/>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项目名称：------------------------------</w:t>
      </w:r>
    </w:p>
    <w:p>
      <w:pPr>
        <w:snapToGrid w:val="0"/>
        <w:spacing w:line="360" w:lineRule="auto"/>
        <w:ind w:firstLine="316" w:firstLineChars="131"/>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项目编号：------------------------------</w:t>
      </w:r>
    </w:p>
    <w:p>
      <w:pPr>
        <w:snapToGrid w:val="0"/>
        <w:spacing w:line="360" w:lineRule="auto"/>
        <w:ind w:left="45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（第     包）</w:t>
      </w:r>
    </w:p>
    <w:tbl>
      <w:tblPr>
        <w:tblStyle w:val="19"/>
        <w:tblW w:w="82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2"/>
        <w:gridCol w:w="910"/>
        <w:gridCol w:w="978"/>
        <w:gridCol w:w="1978"/>
        <w:gridCol w:w="2522"/>
        <w:gridCol w:w="1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632" w:type="dxa"/>
            <w:vAlign w:val="center"/>
          </w:tcPr>
          <w:p>
            <w:pPr>
              <w:snapToGrid w:val="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序号</w:t>
            </w:r>
          </w:p>
        </w:tc>
        <w:tc>
          <w:tcPr>
            <w:tcW w:w="910" w:type="dxa"/>
            <w:vAlign w:val="center"/>
          </w:tcPr>
          <w:p>
            <w:pPr>
              <w:snapToGrid w:val="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货物名称</w:t>
            </w:r>
          </w:p>
        </w:tc>
        <w:tc>
          <w:tcPr>
            <w:tcW w:w="978" w:type="dxa"/>
            <w:vAlign w:val="center"/>
          </w:tcPr>
          <w:p>
            <w:pPr>
              <w:snapToGrid w:val="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品牌</w:t>
            </w:r>
          </w:p>
          <w:p>
            <w:pPr>
              <w:snapToGrid w:val="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型号</w:t>
            </w:r>
          </w:p>
        </w:tc>
        <w:tc>
          <w:tcPr>
            <w:tcW w:w="1978" w:type="dxa"/>
            <w:vAlign w:val="center"/>
          </w:tcPr>
          <w:p>
            <w:pPr>
              <w:snapToGrid w:val="0"/>
              <w:ind w:firstLine="242" w:firstLineChars="10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磋商文件的</w:t>
            </w:r>
          </w:p>
          <w:p>
            <w:pPr>
              <w:snapToGrid w:val="0"/>
              <w:ind w:firstLine="242" w:firstLineChars="10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参数和要求</w:t>
            </w:r>
          </w:p>
        </w:tc>
        <w:tc>
          <w:tcPr>
            <w:tcW w:w="2522" w:type="dxa"/>
            <w:vAlign w:val="center"/>
          </w:tcPr>
          <w:p>
            <w:pPr>
              <w:snapToGrid w:val="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响应文件参数</w:t>
            </w:r>
          </w:p>
        </w:tc>
        <w:tc>
          <w:tcPr>
            <w:tcW w:w="1253" w:type="dxa"/>
            <w:vAlign w:val="center"/>
          </w:tcPr>
          <w:p>
            <w:pPr>
              <w:snapToGrid w:val="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偏  离</w:t>
            </w:r>
          </w:p>
          <w:p>
            <w:pPr>
              <w:snapToGrid w:val="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情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632" w:type="dxa"/>
            <w:vAlign w:val="center"/>
          </w:tcPr>
          <w:p>
            <w:pPr>
              <w:snapToGrid w:val="0"/>
              <w:jc w:val="center"/>
              <w:rPr>
                <w:rFonts w:hint="eastAsia" w:ascii="宋体" w:hAnsi="宋体" w:eastAsia="宋体" w:cs="宋体"/>
                <w:sz w:val="24"/>
                <w:szCs w:val="24"/>
                <w:highlight w:val="none"/>
              </w:rPr>
            </w:pPr>
          </w:p>
        </w:tc>
        <w:tc>
          <w:tcPr>
            <w:tcW w:w="910" w:type="dxa"/>
            <w:vAlign w:val="center"/>
          </w:tcPr>
          <w:p>
            <w:pPr>
              <w:snapToGrid w:val="0"/>
              <w:jc w:val="center"/>
              <w:rPr>
                <w:rFonts w:hint="eastAsia" w:ascii="宋体" w:hAnsi="宋体" w:eastAsia="宋体" w:cs="宋体"/>
                <w:sz w:val="24"/>
                <w:szCs w:val="24"/>
                <w:highlight w:val="none"/>
              </w:rPr>
            </w:pPr>
          </w:p>
        </w:tc>
        <w:tc>
          <w:tcPr>
            <w:tcW w:w="978" w:type="dxa"/>
            <w:vAlign w:val="center"/>
          </w:tcPr>
          <w:p>
            <w:pPr>
              <w:snapToGrid w:val="0"/>
              <w:jc w:val="center"/>
              <w:rPr>
                <w:rFonts w:hint="eastAsia" w:ascii="宋体" w:hAnsi="宋体" w:eastAsia="宋体" w:cs="宋体"/>
                <w:sz w:val="24"/>
                <w:szCs w:val="24"/>
                <w:highlight w:val="none"/>
              </w:rPr>
            </w:pPr>
          </w:p>
        </w:tc>
        <w:tc>
          <w:tcPr>
            <w:tcW w:w="1978" w:type="dxa"/>
            <w:vAlign w:val="center"/>
          </w:tcPr>
          <w:p>
            <w:pPr>
              <w:snapToGrid w:val="0"/>
              <w:jc w:val="center"/>
              <w:rPr>
                <w:rFonts w:hint="eastAsia" w:ascii="宋体" w:hAnsi="宋体" w:eastAsia="宋体" w:cs="宋体"/>
                <w:sz w:val="24"/>
                <w:szCs w:val="24"/>
                <w:highlight w:val="none"/>
              </w:rPr>
            </w:pPr>
          </w:p>
        </w:tc>
        <w:tc>
          <w:tcPr>
            <w:tcW w:w="2522" w:type="dxa"/>
            <w:vAlign w:val="center"/>
          </w:tcPr>
          <w:p>
            <w:pPr>
              <w:snapToGrid w:val="0"/>
              <w:jc w:val="center"/>
              <w:rPr>
                <w:rFonts w:hint="eastAsia" w:ascii="宋体" w:hAnsi="宋体" w:eastAsia="宋体" w:cs="宋体"/>
                <w:sz w:val="24"/>
                <w:szCs w:val="24"/>
                <w:highlight w:val="none"/>
              </w:rPr>
            </w:pPr>
          </w:p>
        </w:tc>
        <w:tc>
          <w:tcPr>
            <w:tcW w:w="1253" w:type="dxa"/>
            <w:vAlign w:val="center"/>
          </w:tcPr>
          <w:p>
            <w:pPr>
              <w:snapToGrid w:val="0"/>
              <w:ind w:left="450"/>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632" w:type="dxa"/>
            <w:vAlign w:val="center"/>
          </w:tcPr>
          <w:p>
            <w:pPr>
              <w:snapToGrid w:val="0"/>
              <w:jc w:val="center"/>
              <w:rPr>
                <w:rFonts w:hint="eastAsia" w:ascii="宋体" w:hAnsi="宋体" w:eastAsia="宋体" w:cs="宋体"/>
                <w:sz w:val="24"/>
                <w:szCs w:val="24"/>
                <w:highlight w:val="none"/>
              </w:rPr>
            </w:pPr>
          </w:p>
        </w:tc>
        <w:tc>
          <w:tcPr>
            <w:tcW w:w="910" w:type="dxa"/>
            <w:vAlign w:val="center"/>
          </w:tcPr>
          <w:p>
            <w:pPr>
              <w:snapToGrid w:val="0"/>
              <w:jc w:val="center"/>
              <w:rPr>
                <w:rFonts w:hint="eastAsia" w:ascii="宋体" w:hAnsi="宋体" w:eastAsia="宋体" w:cs="宋体"/>
                <w:sz w:val="24"/>
                <w:szCs w:val="24"/>
                <w:highlight w:val="none"/>
              </w:rPr>
            </w:pPr>
          </w:p>
        </w:tc>
        <w:tc>
          <w:tcPr>
            <w:tcW w:w="978" w:type="dxa"/>
            <w:vAlign w:val="center"/>
          </w:tcPr>
          <w:p>
            <w:pPr>
              <w:snapToGrid w:val="0"/>
              <w:jc w:val="center"/>
              <w:rPr>
                <w:rFonts w:hint="eastAsia" w:ascii="宋体" w:hAnsi="宋体" w:eastAsia="宋体" w:cs="宋体"/>
                <w:sz w:val="24"/>
                <w:szCs w:val="24"/>
                <w:highlight w:val="none"/>
              </w:rPr>
            </w:pPr>
          </w:p>
        </w:tc>
        <w:tc>
          <w:tcPr>
            <w:tcW w:w="1978" w:type="dxa"/>
            <w:vAlign w:val="center"/>
          </w:tcPr>
          <w:p>
            <w:pPr>
              <w:snapToGrid w:val="0"/>
              <w:jc w:val="center"/>
              <w:rPr>
                <w:rFonts w:hint="eastAsia" w:ascii="宋体" w:hAnsi="宋体" w:eastAsia="宋体" w:cs="宋体"/>
                <w:sz w:val="24"/>
                <w:szCs w:val="24"/>
                <w:highlight w:val="none"/>
              </w:rPr>
            </w:pPr>
          </w:p>
        </w:tc>
        <w:tc>
          <w:tcPr>
            <w:tcW w:w="2522" w:type="dxa"/>
            <w:vAlign w:val="center"/>
          </w:tcPr>
          <w:p>
            <w:pPr>
              <w:snapToGrid w:val="0"/>
              <w:jc w:val="center"/>
              <w:rPr>
                <w:rFonts w:hint="eastAsia" w:ascii="宋体" w:hAnsi="宋体" w:eastAsia="宋体" w:cs="宋体"/>
                <w:sz w:val="24"/>
                <w:szCs w:val="24"/>
                <w:highlight w:val="none"/>
              </w:rPr>
            </w:pPr>
          </w:p>
        </w:tc>
        <w:tc>
          <w:tcPr>
            <w:tcW w:w="1253" w:type="dxa"/>
            <w:vAlign w:val="center"/>
          </w:tcPr>
          <w:p>
            <w:pPr>
              <w:snapToGrid w:val="0"/>
              <w:ind w:left="450"/>
              <w:jc w:val="center"/>
              <w:rPr>
                <w:rFonts w:hint="eastAsia" w:ascii="宋体" w:hAnsi="宋体" w:eastAsia="宋体" w:cs="宋体"/>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0" w:hRule="atLeast"/>
          <w:jc w:val="center"/>
        </w:trPr>
        <w:tc>
          <w:tcPr>
            <w:tcW w:w="632" w:type="dxa"/>
            <w:vAlign w:val="center"/>
          </w:tcPr>
          <w:p>
            <w:pPr>
              <w:snapToGrid w:val="0"/>
              <w:jc w:val="center"/>
              <w:rPr>
                <w:rFonts w:hint="eastAsia" w:ascii="宋体" w:hAnsi="宋体" w:eastAsia="宋体" w:cs="宋体"/>
                <w:sz w:val="24"/>
                <w:szCs w:val="24"/>
                <w:highlight w:val="none"/>
              </w:rPr>
            </w:pPr>
          </w:p>
        </w:tc>
        <w:tc>
          <w:tcPr>
            <w:tcW w:w="910" w:type="dxa"/>
            <w:vAlign w:val="center"/>
          </w:tcPr>
          <w:p>
            <w:pPr>
              <w:snapToGrid w:val="0"/>
              <w:jc w:val="center"/>
              <w:rPr>
                <w:rFonts w:hint="eastAsia" w:ascii="宋体" w:hAnsi="宋体" w:eastAsia="宋体" w:cs="宋体"/>
                <w:sz w:val="24"/>
                <w:szCs w:val="24"/>
                <w:highlight w:val="none"/>
              </w:rPr>
            </w:pPr>
          </w:p>
        </w:tc>
        <w:tc>
          <w:tcPr>
            <w:tcW w:w="978" w:type="dxa"/>
            <w:vAlign w:val="center"/>
          </w:tcPr>
          <w:p>
            <w:pPr>
              <w:snapToGrid w:val="0"/>
              <w:jc w:val="center"/>
              <w:rPr>
                <w:rFonts w:hint="eastAsia" w:ascii="宋体" w:hAnsi="宋体" w:eastAsia="宋体" w:cs="宋体"/>
                <w:sz w:val="24"/>
                <w:szCs w:val="24"/>
                <w:highlight w:val="none"/>
              </w:rPr>
            </w:pPr>
          </w:p>
        </w:tc>
        <w:tc>
          <w:tcPr>
            <w:tcW w:w="1978" w:type="dxa"/>
            <w:vAlign w:val="center"/>
          </w:tcPr>
          <w:p>
            <w:pPr>
              <w:snapToGrid w:val="0"/>
              <w:jc w:val="center"/>
              <w:rPr>
                <w:rFonts w:hint="eastAsia" w:ascii="宋体" w:hAnsi="宋体" w:eastAsia="宋体" w:cs="宋体"/>
                <w:sz w:val="24"/>
                <w:szCs w:val="24"/>
                <w:highlight w:val="none"/>
              </w:rPr>
            </w:pPr>
          </w:p>
        </w:tc>
        <w:tc>
          <w:tcPr>
            <w:tcW w:w="2522" w:type="dxa"/>
            <w:vAlign w:val="center"/>
          </w:tcPr>
          <w:p>
            <w:pPr>
              <w:snapToGrid w:val="0"/>
              <w:jc w:val="center"/>
              <w:rPr>
                <w:rFonts w:hint="eastAsia" w:ascii="宋体" w:hAnsi="宋体" w:eastAsia="宋体" w:cs="宋体"/>
                <w:sz w:val="24"/>
                <w:szCs w:val="24"/>
                <w:highlight w:val="none"/>
              </w:rPr>
            </w:pPr>
          </w:p>
        </w:tc>
        <w:tc>
          <w:tcPr>
            <w:tcW w:w="1253" w:type="dxa"/>
            <w:vAlign w:val="center"/>
          </w:tcPr>
          <w:p>
            <w:pPr>
              <w:snapToGrid w:val="0"/>
              <w:ind w:left="450"/>
              <w:jc w:val="center"/>
              <w:rPr>
                <w:rFonts w:hint="eastAsia" w:ascii="宋体" w:hAnsi="宋体" w:eastAsia="宋体" w:cs="宋体"/>
                <w:sz w:val="24"/>
                <w:szCs w:val="24"/>
                <w:highlight w:val="none"/>
              </w:rPr>
            </w:pPr>
          </w:p>
        </w:tc>
      </w:tr>
    </w:tbl>
    <w:p>
      <w:pPr>
        <w:snapToGrid w:val="0"/>
        <w:spacing w:line="360" w:lineRule="auto"/>
        <w:rPr>
          <w:rFonts w:hint="eastAsia" w:ascii="宋体" w:hAnsi="宋体" w:eastAsia="宋体" w:cs="宋体"/>
          <w:sz w:val="24"/>
          <w:szCs w:val="24"/>
          <w:highlight w:val="none"/>
        </w:rPr>
      </w:pPr>
    </w:p>
    <w:p>
      <w:pPr>
        <w:snapToGrid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供应商全称：</w:t>
      </w:r>
    </w:p>
    <w:p>
      <w:pPr>
        <w:snapToGrid w:val="0"/>
        <w:spacing w:line="360" w:lineRule="auto"/>
        <w:rPr>
          <w:rFonts w:hint="eastAsia" w:ascii="宋体" w:hAnsi="宋体" w:eastAsia="宋体" w:cs="宋体"/>
          <w:sz w:val="21"/>
          <w:szCs w:val="21"/>
          <w:highlight w:val="none"/>
        </w:rPr>
      </w:pPr>
    </w:p>
    <w:p>
      <w:pPr>
        <w:snapToGrid w:val="0"/>
        <w:spacing w:line="360" w:lineRule="auto"/>
        <w:rPr>
          <w:rFonts w:hint="eastAsia" w:ascii="宋体" w:hAnsi="宋体" w:eastAsia="宋体" w:cs="宋体"/>
          <w:sz w:val="21"/>
          <w:szCs w:val="21"/>
          <w:highlight w:val="none"/>
        </w:rPr>
      </w:pPr>
    </w:p>
    <w:p>
      <w:pPr>
        <w:snapToGrid w:val="0"/>
        <w:spacing w:line="360" w:lineRule="auto"/>
        <w:rPr>
          <w:rFonts w:hint="eastAsia" w:ascii="宋体" w:hAnsi="宋体" w:eastAsia="宋体" w:cs="宋体"/>
          <w:sz w:val="21"/>
          <w:szCs w:val="21"/>
          <w:highlight w:val="none"/>
        </w:rPr>
      </w:pPr>
    </w:p>
    <w:p>
      <w:pPr>
        <w:snapToGrid w:val="0"/>
        <w:spacing w:line="360" w:lineRule="auto"/>
        <w:rPr>
          <w:rFonts w:hint="eastAsia" w:ascii="宋体" w:hAnsi="宋体" w:eastAsia="宋体" w:cs="宋体"/>
          <w:sz w:val="21"/>
          <w:szCs w:val="21"/>
          <w:highlight w:val="none"/>
        </w:rPr>
      </w:pPr>
    </w:p>
    <w:p>
      <w:pPr>
        <w:snapToGrid w:val="0"/>
        <w:spacing w:line="360" w:lineRule="auto"/>
        <w:rPr>
          <w:rFonts w:hint="eastAsia" w:ascii="宋体" w:hAnsi="宋体" w:eastAsia="宋体" w:cs="宋体"/>
          <w:sz w:val="21"/>
          <w:szCs w:val="21"/>
          <w:highlight w:val="none"/>
        </w:rPr>
      </w:pPr>
    </w:p>
    <w:p>
      <w:pPr>
        <w:snapToGrid w:val="0"/>
        <w:spacing w:line="360" w:lineRule="auto"/>
        <w:rPr>
          <w:rFonts w:hint="eastAsia" w:ascii="宋体" w:hAnsi="宋体" w:eastAsia="宋体" w:cs="宋体"/>
          <w:sz w:val="21"/>
          <w:szCs w:val="21"/>
          <w:highlight w:val="none"/>
        </w:rPr>
      </w:pPr>
    </w:p>
    <w:p>
      <w:pPr>
        <w:snapToGrid w:val="0"/>
        <w:spacing w:line="360" w:lineRule="auto"/>
        <w:rPr>
          <w:rFonts w:hint="eastAsia" w:ascii="宋体" w:hAnsi="宋体" w:eastAsia="宋体" w:cs="宋体"/>
          <w:sz w:val="21"/>
          <w:szCs w:val="21"/>
          <w:highlight w:val="none"/>
        </w:rPr>
      </w:pPr>
      <w:r>
        <w:rPr>
          <w:rFonts w:hint="eastAsia" w:ascii="宋体" w:hAnsi="宋体" w:eastAsia="宋体" w:cs="宋体"/>
          <w:sz w:val="21"/>
          <w:szCs w:val="21"/>
          <w:highlight w:val="none"/>
        </w:rPr>
        <w:br w:type="page"/>
      </w:r>
    </w:p>
    <w:p>
      <w:pPr>
        <w:snapToGrid w:val="0"/>
        <w:spacing w:line="360" w:lineRule="auto"/>
        <w:rPr>
          <w:rFonts w:hint="eastAsia" w:ascii="宋体" w:hAnsi="宋体" w:eastAsia="宋体" w:cs="宋体"/>
          <w:sz w:val="21"/>
          <w:szCs w:val="21"/>
          <w:highlight w:val="none"/>
        </w:rPr>
      </w:pPr>
    </w:p>
    <w:p>
      <w:pPr>
        <w:snapToGrid w:val="0"/>
        <w:spacing w:line="360" w:lineRule="auto"/>
        <w:jc w:val="center"/>
        <w:rPr>
          <w:rFonts w:hint="eastAsia" w:ascii="黑体" w:hAnsi="黑体" w:eastAsia="黑体" w:cs="黑体"/>
          <w:b/>
          <w:bCs/>
          <w:sz w:val="36"/>
          <w:szCs w:val="36"/>
          <w:highlight w:val="none"/>
        </w:rPr>
      </w:pPr>
      <w:r>
        <w:rPr>
          <w:rFonts w:hint="eastAsia" w:ascii="黑体" w:hAnsi="黑体" w:eastAsia="黑体" w:cs="黑体"/>
          <w:b/>
          <w:bCs/>
          <w:sz w:val="36"/>
          <w:szCs w:val="36"/>
          <w:highlight w:val="none"/>
        </w:rPr>
        <w:t>6、技术服务和售后服务的内容及措施</w:t>
      </w:r>
    </w:p>
    <w:p>
      <w:pPr>
        <w:snapToGrid w:val="0"/>
        <w:spacing w:line="360" w:lineRule="auto"/>
        <w:jc w:val="center"/>
        <w:rPr>
          <w:rFonts w:hint="eastAsia" w:ascii="宋体" w:hAnsi="宋体" w:eastAsia="宋体" w:cs="宋体"/>
          <w:sz w:val="21"/>
          <w:szCs w:val="21"/>
          <w:highlight w:val="none"/>
        </w:rPr>
      </w:pPr>
    </w:p>
    <w:p>
      <w:pPr>
        <w:snapToGrid w:val="0"/>
        <w:spacing w:line="360" w:lineRule="auto"/>
        <w:jc w:val="center"/>
        <w:rPr>
          <w:rFonts w:hint="eastAsia" w:ascii="宋体" w:hAnsi="宋体" w:eastAsia="宋体" w:cs="宋体"/>
          <w:sz w:val="24"/>
          <w:szCs w:val="24"/>
          <w:highlight w:val="none"/>
        </w:rPr>
      </w:pPr>
    </w:p>
    <w:p>
      <w:pPr>
        <w:snapToGrid w:val="0"/>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供应商全称：</w:t>
      </w:r>
    </w:p>
    <w:p>
      <w:pPr>
        <w:snapToGrid w:val="0"/>
        <w:spacing w:line="360" w:lineRule="auto"/>
        <w:jc w:val="left"/>
        <w:rPr>
          <w:rFonts w:hint="eastAsia" w:ascii="宋体" w:hAnsi="宋体" w:eastAsia="宋体" w:cs="宋体"/>
          <w:sz w:val="21"/>
          <w:szCs w:val="21"/>
          <w:highlight w:val="none"/>
        </w:rPr>
      </w:pPr>
    </w:p>
    <w:p>
      <w:pPr>
        <w:snapToGrid w:val="0"/>
        <w:spacing w:line="360" w:lineRule="auto"/>
        <w:jc w:val="center"/>
        <w:rPr>
          <w:rFonts w:hint="eastAsia" w:ascii="宋体" w:hAnsi="宋体" w:eastAsia="宋体" w:cs="宋体"/>
          <w:sz w:val="21"/>
          <w:szCs w:val="21"/>
          <w:highlight w:val="none"/>
        </w:rPr>
      </w:pPr>
    </w:p>
    <w:p>
      <w:pPr>
        <w:snapToGrid w:val="0"/>
        <w:spacing w:line="360" w:lineRule="auto"/>
        <w:jc w:val="center"/>
        <w:rPr>
          <w:rFonts w:hint="eastAsia" w:ascii="宋体" w:hAnsi="宋体" w:eastAsia="宋体" w:cs="宋体"/>
          <w:sz w:val="21"/>
          <w:szCs w:val="21"/>
          <w:highlight w:val="none"/>
        </w:rPr>
      </w:pPr>
    </w:p>
    <w:p>
      <w:pPr>
        <w:snapToGrid w:val="0"/>
        <w:spacing w:line="360" w:lineRule="auto"/>
        <w:jc w:val="center"/>
        <w:rPr>
          <w:rFonts w:hint="eastAsia" w:ascii="宋体" w:hAnsi="宋体" w:eastAsia="宋体" w:cs="宋体"/>
          <w:sz w:val="21"/>
          <w:szCs w:val="21"/>
          <w:highlight w:val="none"/>
        </w:rPr>
      </w:pPr>
    </w:p>
    <w:p>
      <w:pPr>
        <w:snapToGrid w:val="0"/>
        <w:spacing w:line="360" w:lineRule="auto"/>
        <w:jc w:val="center"/>
        <w:rPr>
          <w:rFonts w:hint="eastAsia" w:ascii="宋体" w:hAnsi="宋体" w:eastAsia="宋体" w:cs="宋体"/>
          <w:sz w:val="21"/>
          <w:szCs w:val="21"/>
          <w:highlight w:val="none"/>
        </w:rPr>
      </w:pPr>
    </w:p>
    <w:p>
      <w:pPr>
        <w:snapToGrid w:val="0"/>
        <w:spacing w:line="360" w:lineRule="auto"/>
        <w:jc w:val="center"/>
        <w:rPr>
          <w:rFonts w:hint="eastAsia" w:ascii="宋体" w:hAnsi="宋体" w:eastAsia="宋体" w:cs="宋体"/>
          <w:sz w:val="21"/>
          <w:szCs w:val="21"/>
          <w:highlight w:val="none"/>
        </w:rPr>
      </w:pPr>
    </w:p>
    <w:p>
      <w:pPr>
        <w:snapToGrid w:val="0"/>
        <w:spacing w:line="360" w:lineRule="auto"/>
        <w:jc w:val="center"/>
        <w:rPr>
          <w:rFonts w:hint="eastAsia" w:ascii="宋体" w:hAnsi="宋体" w:eastAsia="宋体" w:cs="宋体"/>
          <w:sz w:val="21"/>
          <w:szCs w:val="21"/>
          <w:highlight w:val="none"/>
        </w:rPr>
      </w:pPr>
    </w:p>
    <w:p>
      <w:pPr>
        <w:snapToGrid w:val="0"/>
        <w:spacing w:line="360" w:lineRule="auto"/>
        <w:jc w:val="center"/>
        <w:rPr>
          <w:rFonts w:hint="eastAsia" w:ascii="宋体" w:hAnsi="宋体" w:eastAsia="宋体" w:cs="宋体"/>
          <w:sz w:val="21"/>
          <w:szCs w:val="21"/>
          <w:highlight w:val="none"/>
        </w:rPr>
      </w:pPr>
    </w:p>
    <w:p>
      <w:pPr>
        <w:snapToGrid w:val="0"/>
        <w:spacing w:line="360" w:lineRule="auto"/>
        <w:jc w:val="center"/>
        <w:rPr>
          <w:rFonts w:hint="eastAsia" w:ascii="宋体" w:hAnsi="宋体" w:eastAsia="宋体" w:cs="宋体"/>
          <w:sz w:val="21"/>
          <w:szCs w:val="21"/>
          <w:highlight w:val="none"/>
        </w:rPr>
      </w:pPr>
    </w:p>
    <w:p>
      <w:pPr>
        <w:snapToGrid w:val="0"/>
        <w:spacing w:line="360" w:lineRule="auto"/>
        <w:jc w:val="center"/>
        <w:rPr>
          <w:rFonts w:hint="eastAsia" w:ascii="宋体" w:hAnsi="宋体" w:eastAsia="宋体" w:cs="宋体"/>
          <w:sz w:val="21"/>
          <w:szCs w:val="21"/>
          <w:highlight w:val="none"/>
        </w:rPr>
      </w:pPr>
    </w:p>
    <w:p>
      <w:pPr>
        <w:snapToGrid w:val="0"/>
        <w:spacing w:line="360" w:lineRule="auto"/>
        <w:jc w:val="center"/>
        <w:rPr>
          <w:rFonts w:hint="eastAsia" w:ascii="宋体" w:hAnsi="宋体" w:eastAsia="宋体" w:cs="宋体"/>
          <w:sz w:val="21"/>
          <w:szCs w:val="21"/>
          <w:highlight w:val="none"/>
        </w:rPr>
      </w:pPr>
    </w:p>
    <w:p>
      <w:pPr>
        <w:snapToGrid w:val="0"/>
        <w:spacing w:line="360" w:lineRule="auto"/>
        <w:jc w:val="center"/>
        <w:rPr>
          <w:rFonts w:hint="eastAsia" w:ascii="宋体" w:hAnsi="宋体" w:eastAsia="宋体" w:cs="宋体"/>
          <w:sz w:val="21"/>
          <w:szCs w:val="21"/>
          <w:highlight w:val="none"/>
        </w:rPr>
      </w:pPr>
    </w:p>
    <w:p>
      <w:pPr>
        <w:snapToGrid w:val="0"/>
        <w:spacing w:line="360" w:lineRule="auto"/>
        <w:jc w:val="center"/>
        <w:rPr>
          <w:rFonts w:hint="eastAsia" w:ascii="宋体" w:hAnsi="宋体" w:eastAsia="宋体" w:cs="宋体"/>
          <w:sz w:val="21"/>
          <w:szCs w:val="21"/>
          <w:highlight w:val="none"/>
        </w:rPr>
      </w:pPr>
    </w:p>
    <w:p>
      <w:pPr>
        <w:snapToGrid w:val="0"/>
        <w:spacing w:line="360" w:lineRule="auto"/>
        <w:jc w:val="center"/>
        <w:rPr>
          <w:rFonts w:hint="eastAsia" w:ascii="宋体" w:hAnsi="宋体" w:eastAsia="宋体" w:cs="宋体"/>
          <w:sz w:val="21"/>
          <w:szCs w:val="21"/>
          <w:highlight w:val="none"/>
        </w:rPr>
      </w:pPr>
    </w:p>
    <w:p>
      <w:pPr>
        <w:snapToGrid w:val="0"/>
        <w:spacing w:line="360" w:lineRule="auto"/>
        <w:jc w:val="center"/>
        <w:rPr>
          <w:rFonts w:hint="eastAsia" w:ascii="宋体" w:hAnsi="宋体" w:eastAsia="宋体" w:cs="宋体"/>
          <w:sz w:val="21"/>
          <w:szCs w:val="21"/>
          <w:highlight w:val="none"/>
        </w:rPr>
      </w:pPr>
    </w:p>
    <w:p>
      <w:pPr>
        <w:snapToGrid w:val="0"/>
        <w:spacing w:line="360" w:lineRule="auto"/>
        <w:jc w:val="center"/>
        <w:rPr>
          <w:rFonts w:hint="eastAsia" w:ascii="宋体" w:hAnsi="宋体" w:eastAsia="宋体" w:cs="宋体"/>
          <w:sz w:val="21"/>
          <w:szCs w:val="21"/>
          <w:highlight w:val="none"/>
        </w:rPr>
      </w:pPr>
    </w:p>
    <w:p>
      <w:pPr>
        <w:snapToGrid w:val="0"/>
        <w:rPr>
          <w:rFonts w:hint="eastAsia" w:ascii="宋体" w:hAnsi="宋体" w:eastAsia="宋体" w:cs="宋体"/>
          <w:sz w:val="21"/>
          <w:szCs w:val="21"/>
          <w:highlight w:val="none"/>
        </w:rPr>
      </w:pPr>
      <w:r>
        <w:rPr>
          <w:rFonts w:hint="eastAsia" w:ascii="宋体" w:hAnsi="宋体" w:eastAsia="宋体" w:cs="宋体"/>
          <w:sz w:val="21"/>
          <w:szCs w:val="21"/>
          <w:highlight w:val="none"/>
        </w:rPr>
        <w:br w:type="page"/>
      </w:r>
    </w:p>
    <w:p>
      <w:pPr>
        <w:snapToGrid w:val="0"/>
        <w:spacing w:line="480" w:lineRule="auto"/>
        <w:jc w:val="center"/>
        <w:rPr>
          <w:rFonts w:hint="eastAsia" w:ascii="宋体" w:hAnsi="宋体" w:eastAsia="宋体" w:cs="宋体"/>
          <w:b/>
          <w:bCs/>
          <w:sz w:val="36"/>
          <w:szCs w:val="36"/>
          <w:highlight w:val="none"/>
        </w:rPr>
      </w:pPr>
      <w:r>
        <w:rPr>
          <w:rFonts w:hint="eastAsia" w:ascii="宋体" w:hAnsi="宋体" w:eastAsia="宋体" w:cs="宋体"/>
          <w:b/>
          <w:bCs/>
          <w:sz w:val="36"/>
          <w:szCs w:val="36"/>
          <w:highlight w:val="none"/>
        </w:rPr>
        <w:t>7、法定代表人授权书</w:t>
      </w:r>
    </w:p>
    <w:p>
      <w:pPr>
        <w:snapToGrid w:val="0"/>
        <w:spacing w:line="360" w:lineRule="auto"/>
        <w:rPr>
          <w:rFonts w:hint="eastAsia" w:ascii="宋体" w:hAnsi="宋体" w:eastAsia="宋体" w:cs="宋体"/>
          <w:sz w:val="24"/>
          <w:szCs w:val="24"/>
          <w:highlight w:val="none"/>
        </w:rPr>
      </w:pPr>
      <w:r>
        <w:rPr>
          <w:rFonts w:hint="eastAsia" w:ascii="宋体" w:hAnsi="宋体" w:eastAsia="宋体" w:cs="宋体"/>
          <w:position w:val="-6"/>
          <w:sz w:val="24"/>
          <w:szCs w:val="24"/>
          <w:highlight w:val="none"/>
        </w:rPr>
        <w:t>-------------------------</w:t>
      </w:r>
      <w:r>
        <w:rPr>
          <w:rFonts w:hint="eastAsia" w:ascii="宋体" w:hAnsi="宋体" w:eastAsia="宋体" w:cs="宋体"/>
          <w:sz w:val="24"/>
          <w:szCs w:val="24"/>
          <w:highlight w:val="none"/>
        </w:rPr>
        <w:t>：</w:t>
      </w:r>
    </w:p>
    <w:p>
      <w:pPr>
        <w:snapToGrid w:val="0"/>
        <w:spacing w:line="360" w:lineRule="auto"/>
        <w:rPr>
          <w:rFonts w:hint="eastAsia" w:ascii="宋体" w:hAnsi="宋体" w:eastAsia="宋体" w:cs="宋体"/>
          <w:sz w:val="24"/>
          <w:szCs w:val="24"/>
          <w:highlight w:val="none"/>
        </w:rPr>
      </w:pPr>
      <w:r>
        <w:rPr>
          <w:rFonts w:hint="eastAsia" w:ascii="宋体" w:hAnsi="宋体" w:eastAsia="宋体" w:cs="宋体"/>
          <w:position w:val="-6"/>
          <w:sz w:val="24"/>
          <w:szCs w:val="24"/>
          <w:highlight w:val="none"/>
        </w:rPr>
        <w:t>-------------------------</w:t>
      </w:r>
      <w:r>
        <w:rPr>
          <w:rFonts w:hint="eastAsia" w:ascii="宋体" w:hAnsi="宋体" w:eastAsia="宋体" w:cs="宋体"/>
          <w:sz w:val="24"/>
          <w:szCs w:val="24"/>
          <w:highlight w:val="none"/>
        </w:rPr>
        <w:t>（报价单位全称）法定代表人</w:t>
      </w:r>
      <w:r>
        <w:rPr>
          <w:rFonts w:hint="eastAsia" w:ascii="宋体" w:hAnsi="宋体" w:eastAsia="宋体" w:cs="宋体"/>
          <w:position w:val="-6"/>
          <w:sz w:val="24"/>
          <w:szCs w:val="24"/>
          <w:highlight w:val="none"/>
        </w:rPr>
        <w:t>----------------</w:t>
      </w:r>
      <w:r>
        <w:rPr>
          <w:rFonts w:hint="eastAsia" w:ascii="宋体" w:hAnsi="宋体" w:eastAsia="宋体" w:cs="宋体"/>
          <w:sz w:val="24"/>
          <w:szCs w:val="24"/>
          <w:highlight w:val="none"/>
        </w:rPr>
        <w:t>授权</w:t>
      </w:r>
      <w:r>
        <w:rPr>
          <w:rFonts w:hint="eastAsia" w:ascii="宋体" w:hAnsi="宋体" w:eastAsia="宋体" w:cs="宋体"/>
          <w:position w:val="-6"/>
          <w:sz w:val="24"/>
          <w:szCs w:val="24"/>
          <w:highlight w:val="none"/>
        </w:rPr>
        <w:t>---------------</w:t>
      </w:r>
      <w:r>
        <w:rPr>
          <w:rFonts w:hint="eastAsia" w:ascii="宋体" w:hAnsi="宋体" w:eastAsia="宋体" w:cs="宋体"/>
          <w:sz w:val="24"/>
          <w:szCs w:val="24"/>
          <w:highlight w:val="none"/>
        </w:rPr>
        <w:t>（授权代表姓名）为全权代表，参加贵处组织的</w:t>
      </w:r>
      <w:r>
        <w:rPr>
          <w:rFonts w:hint="eastAsia" w:ascii="宋体" w:hAnsi="宋体" w:eastAsia="宋体" w:cs="宋体"/>
          <w:position w:val="-6"/>
          <w:sz w:val="24"/>
          <w:szCs w:val="24"/>
          <w:highlight w:val="none"/>
        </w:rPr>
        <w:t>----------------------------</w:t>
      </w:r>
      <w:r>
        <w:rPr>
          <w:rFonts w:hint="eastAsia" w:ascii="宋体" w:hAnsi="宋体" w:eastAsia="宋体" w:cs="宋体"/>
          <w:sz w:val="24"/>
          <w:szCs w:val="24"/>
          <w:highlight w:val="none"/>
        </w:rPr>
        <w:t>项目（项目编号）磋商活动，全权处理本活动中的一切事宜。</w:t>
      </w:r>
    </w:p>
    <w:p>
      <w:pPr>
        <w:snapToGrid w:val="0"/>
        <w:spacing w:line="360" w:lineRule="auto"/>
        <w:ind w:firstLine="600"/>
        <w:rPr>
          <w:rFonts w:hint="eastAsia" w:ascii="宋体" w:hAnsi="宋体" w:eastAsia="宋体" w:cs="宋体"/>
          <w:sz w:val="24"/>
          <w:szCs w:val="24"/>
          <w:highlight w:val="none"/>
        </w:rPr>
      </w:pPr>
    </w:p>
    <w:p>
      <w:pPr>
        <w:snapToGrid w:val="0"/>
        <w:spacing w:line="360" w:lineRule="auto"/>
        <w:ind w:firstLine="600"/>
        <w:rPr>
          <w:rFonts w:hint="eastAsia" w:ascii="宋体" w:hAnsi="宋体" w:eastAsia="宋体" w:cs="宋体"/>
          <w:sz w:val="24"/>
          <w:szCs w:val="24"/>
          <w:highlight w:val="none"/>
        </w:rPr>
      </w:pPr>
      <w:r>
        <w:rPr>
          <w:rFonts w:hint="eastAsia" w:ascii="宋体" w:hAnsi="宋体" w:eastAsia="宋体" w:cs="宋体"/>
          <w:spacing w:val="38"/>
          <w:sz w:val="24"/>
          <w:szCs w:val="24"/>
          <w:highlight w:val="none"/>
        </w:rPr>
        <w:t>法定代表人签字</w:t>
      </w:r>
      <w:r>
        <w:rPr>
          <w:rFonts w:hint="eastAsia" w:ascii="宋体" w:hAnsi="宋体" w:eastAsia="宋体" w:cs="宋体"/>
          <w:sz w:val="24"/>
          <w:szCs w:val="24"/>
          <w:highlight w:val="none"/>
        </w:rPr>
        <w:t>：</w:t>
      </w:r>
    </w:p>
    <w:p>
      <w:pPr>
        <w:snapToGrid w:val="0"/>
        <w:spacing w:line="360" w:lineRule="auto"/>
        <w:ind w:firstLine="600"/>
        <w:rPr>
          <w:rFonts w:hint="eastAsia" w:ascii="宋体" w:hAnsi="宋体" w:eastAsia="宋体" w:cs="宋体"/>
          <w:sz w:val="24"/>
          <w:szCs w:val="24"/>
          <w:highlight w:val="none"/>
        </w:rPr>
      </w:pPr>
      <w:r>
        <w:rPr>
          <w:rFonts w:hint="eastAsia" w:ascii="宋体" w:hAnsi="宋体" w:eastAsia="宋体" w:cs="宋体"/>
          <w:sz w:val="24"/>
          <w:szCs w:val="24"/>
          <w:highlight w:val="none"/>
        </w:rPr>
        <w:t>供应商全称（公章）：</w:t>
      </w:r>
    </w:p>
    <w:p>
      <w:pPr>
        <w:snapToGrid w:val="0"/>
        <w:spacing w:line="360" w:lineRule="auto"/>
        <w:ind w:firstLine="600"/>
        <w:rPr>
          <w:rFonts w:hint="eastAsia" w:ascii="宋体" w:hAnsi="宋体" w:eastAsia="宋体" w:cs="宋体"/>
          <w:sz w:val="24"/>
          <w:szCs w:val="24"/>
          <w:highlight w:val="none"/>
        </w:rPr>
      </w:pPr>
      <w:r>
        <w:rPr>
          <w:rFonts w:hint="eastAsia" w:ascii="宋体" w:hAnsi="宋体" w:eastAsia="宋体" w:cs="宋体"/>
          <w:sz w:val="24"/>
          <w:szCs w:val="24"/>
          <w:highlight w:val="none"/>
        </w:rPr>
        <w:t>日           期：</w:t>
      </w:r>
    </w:p>
    <w:p>
      <w:pPr>
        <w:snapToGrid w:val="0"/>
        <w:spacing w:line="360" w:lineRule="auto"/>
        <w:rPr>
          <w:rFonts w:hint="eastAsia" w:ascii="宋体" w:hAnsi="宋体" w:eastAsia="宋体" w:cs="宋体"/>
          <w:sz w:val="24"/>
          <w:szCs w:val="24"/>
          <w:highlight w:val="none"/>
        </w:rPr>
      </w:pPr>
    </w:p>
    <w:p>
      <w:pPr>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附： 授权代表姓名：                   授权代表（签字）：</w:t>
      </w:r>
    </w:p>
    <w:p>
      <w:pPr>
        <w:snapToGrid w:val="0"/>
        <w:spacing w:line="360" w:lineRule="auto"/>
        <w:ind w:firstLine="600"/>
        <w:rPr>
          <w:rFonts w:hint="eastAsia" w:ascii="宋体" w:hAnsi="宋体" w:eastAsia="宋体" w:cs="宋体"/>
          <w:sz w:val="24"/>
          <w:szCs w:val="24"/>
          <w:highlight w:val="none"/>
        </w:rPr>
      </w:pPr>
      <w:r>
        <w:rPr>
          <w:rFonts w:hint="eastAsia" w:ascii="宋体" w:hAnsi="宋体" w:eastAsia="宋体" w:cs="宋体"/>
          <w:sz w:val="24"/>
          <w:szCs w:val="24"/>
          <w:highlight w:val="none"/>
        </w:rPr>
        <w:t>职        务：</w:t>
      </w:r>
    </w:p>
    <w:p>
      <w:pPr>
        <w:snapToGrid w:val="0"/>
        <w:spacing w:line="360" w:lineRule="auto"/>
        <w:ind w:firstLine="600"/>
        <w:rPr>
          <w:rFonts w:hint="eastAsia" w:ascii="宋体" w:hAnsi="宋体" w:eastAsia="宋体" w:cs="宋体"/>
          <w:sz w:val="24"/>
          <w:szCs w:val="24"/>
          <w:highlight w:val="none"/>
        </w:rPr>
      </w:pPr>
      <w:r>
        <w:rPr>
          <w:rFonts w:hint="eastAsia" w:ascii="宋体" w:hAnsi="宋体" w:eastAsia="宋体" w:cs="宋体"/>
          <w:sz w:val="24"/>
          <w:szCs w:val="24"/>
          <w:highlight w:val="none"/>
        </w:rPr>
        <w:t>详细通讯地址：：</w:t>
      </w:r>
    </w:p>
    <w:p>
      <w:pPr>
        <w:snapToGrid w:val="0"/>
        <w:spacing w:line="360" w:lineRule="auto"/>
        <w:ind w:firstLine="600"/>
        <w:rPr>
          <w:rFonts w:hint="eastAsia" w:ascii="宋体" w:hAnsi="宋体" w:eastAsia="宋体" w:cs="宋体"/>
          <w:sz w:val="24"/>
          <w:szCs w:val="24"/>
          <w:highlight w:val="none"/>
        </w:rPr>
      </w:pPr>
      <w:r>
        <w:rPr>
          <w:rFonts w:hint="eastAsia" w:ascii="宋体" w:hAnsi="宋体" w:eastAsia="宋体" w:cs="宋体"/>
          <w:sz w:val="24"/>
          <w:szCs w:val="24"/>
          <w:highlight w:val="none"/>
        </w:rPr>
        <w:t>邮政编码：</w:t>
      </w:r>
    </w:p>
    <w:p>
      <w:pPr>
        <w:snapToGrid w:val="0"/>
        <w:spacing w:line="360" w:lineRule="auto"/>
        <w:ind w:firstLine="600"/>
        <w:rPr>
          <w:rFonts w:hint="eastAsia" w:ascii="宋体" w:hAnsi="宋体" w:eastAsia="宋体" w:cs="宋体"/>
          <w:sz w:val="24"/>
          <w:szCs w:val="24"/>
          <w:highlight w:val="none"/>
        </w:rPr>
      </w:pPr>
      <w:r>
        <w:rPr>
          <w:rFonts w:hint="eastAsia" w:ascii="宋体" w:hAnsi="宋体" w:eastAsia="宋体" w:cs="宋体"/>
          <w:sz w:val="24"/>
          <w:szCs w:val="24"/>
          <w:highlight w:val="none"/>
        </w:rPr>
        <w:t>传        真：</w:t>
      </w:r>
    </w:p>
    <w:p>
      <w:pPr>
        <w:snapToGrid w:val="0"/>
        <w:spacing w:line="360" w:lineRule="auto"/>
        <w:ind w:firstLine="600"/>
        <w:rPr>
          <w:rFonts w:hint="eastAsia" w:ascii="宋体" w:hAnsi="宋体" w:eastAsia="宋体" w:cs="宋体"/>
          <w:sz w:val="24"/>
          <w:szCs w:val="24"/>
          <w:highlight w:val="none"/>
        </w:rPr>
      </w:pPr>
      <w:r>
        <w:rPr>
          <w:rFonts w:hint="eastAsia" w:ascii="宋体" w:hAnsi="宋体" w:eastAsia="宋体" w:cs="宋体"/>
          <w:sz w:val="24"/>
          <w:szCs w:val="24"/>
          <w:highlight w:val="none"/>
        </w:rPr>
        <w:t>电话（手机）：</w:t>
      </w:r>
    </w:p>
    <w:p>
      <w:pPr>
        <w:snapToGrid w:val="0"/>
        <w:spacing w:line="360" w:lineRule="auto"/>
        <w:jc w:val="center"/>
        <w:rPr>
          <w:rFonts w:hint="eastAsia" w:ascii="宋体" w:hAnsi="宋体" w:eastAsia="宋体" w:cs="宋体"/>
          <w:sz w:val="21"/>
          <w:szCs w:val="21"/>
          <w:highlight w:val="none"/>
        </w:rPr>
      </w:pPr>
    </w:p>
    <w:p>
      <w:pPr>
        <w:snapToGrid w:val="0"/>
        <w:spacing w:line="360" w:lineRule="auto"/>
        <w:jc w:val="center"/>
        <w:rPr>
          <w:rFonts w:hint="eastAsia" w:ascii="宋体" w:hAnsi="宋体" w:eastAsia="宋体" w:cs="宋体"/>
          <w:sz w:val="21"/>
          <w:szCs w:val="21"/>
          <w:highlight w:val="none"/>
        </w:rPr>
      </w:pPr>
    </w:p>
    <w:p>
      <w:pPr>
        <w:snapToGrid w:val="0"/>
        <w:spacing w:line="360" w:lineRule="auto"/>
        <w:jc w:val="center"/>
        <w:rPr>
          <w:rFonts w:hint="eastAsia" w:ascii="宋体" w:hAnsi="宋体" w:eastAsia="宋体" w:cs="宋体"/>
          <w:sz w:val="21"/>
          <w:szCs w:val="21"/>
          <w:highlight w:val="none"/>
        </w:rPr>
      </w:pPr>
    </w:p>
    <w:p>
      <w:pPr>
        <w:snapToGrid w:val="0"/>
        <w:spacing w:line="360" w:lineRule="auto"/>
        <w:jc w:val="center"/>
        <w:rPr>
          <w:rFonts w:hint="eastAsia" w:ascii="宋体" w:hAnsi="宋体" w:eastAsia="宋体" w:cs="宋体"/>
          <w:sz w:val="21"/>
          <w:szCs w:val="21"/>
          <w:highlight w:val="none"/>
        </w:rPr>
      </w:pPr>
    </w:p>
    <w:p>
      <w:pPr>
        <w:snapToGrid w:val="0"/>
        <w:spacing w:line="360" w:lineRule="auto"/>
        <w:jc w:val="center"/>
        <w:rPr>
          <w:rFonts w:hint="eastAsia" w:ascii="宋体" w:hAnsi="宋体" w:eastAsia="宋体" w:cs="宋体"/>
          <w:sz w:val="21"/>
          <w:szCs w:val="21"/>
          <w:highlight w:val="none"/>
        </w:rPr>
      </w:pPr>
    </w:p>
    <w:p>
      <w:pPr>
        <w:snapToGrid w:val="0"/>
        <w:spacing w:line="360" w:lineRule="auto"/>
        <w:jc w:val="center"/>
        <w:rPr>
          <w:rFonts w:hint="eastAsia" w:ascii="宋体" w:hAnsi="宋体" w:eastAsia="宋体" w:cs="宋体"/>
          <w:sz w:val="21"/>
          <w:szCs w:val="21"/>
          <w:highlight w:val="none"/>
        </w:rPr>
      </w:pPr>
    </w:p>
    <w:p>
      <w:pPr>
        <w:snapToGrid w:val="0"/>
        <w:spacing w:line="360" w:lineRule="auto"/>
        <w:jc w:val="center"/>
        <w:rPr>
          <w:rFonts w:hint="eastAsia" w:ascii="宋体" w:hAnsi="宋体" w:eastAsia="宋体" w:cs="宋体"/>
          <w:sz w:val="21"/>
          <w:szCs w:val="21"/>
          <w:highlight w:val="none"/>
        </w:rPr>
      </w:pPr>
    </w:p>
    <w:p>
      <w:pPr>
        <w:snapToGrid w:val="0"/>
        <w:spacing w:line="360" w:lineRule="auto"/>
        <w:jc w:val="center"/>
        <w:rPr>
          <w:rFonts w:hint="eastAsia" w:ascii="宋体" w:hAnsi="宋体" w:eastAsia="宋体" w:cs="宋体"/>
          <w:sz w:val="21"/>
          <w:szCs w:val="21"/>
          <w:highlight w:val="none"/>
        </w:rPr>
      </w:pPr>
    </w:p>
    <w:p>
      <w:pPr>
        <w:widowControl/>
        <w:spacing w:before="312" w:beforeLines="100" w:line="360" w:lineRule="auto"/>
        <w:rPr>
          <w:rFonts w:hint="eastAsia" w:ascii="宋体" w:hAnsi="宋体" w:eastAsia="宋体" w:cs="宋体"/>
          <w:sz w:val="21"/>
          <w:szCs w:val="21"/>
          <w:highlight w:val="none"/>
        </w:rPr>
      </w:pPr>
    </w:p>
    <w:p>
      <w:pPr>
        <w:widowControl/>
        <w:spacing w:before="312" w:beforeLines="100" w:line="360" w:lineRule="auto"/>
        <w:jc w:val="both"/>
        <w:rPr>
          <w:rStyle w:val="22"/>
          <w:rFonts w:hint="eastAsia" w:ascii="宋体" w:hAnsi="宋体" w:eastAsia="宋体" w:cs="宋体"/>
          <w:color w:val="000000"/>
          <w:kern w:val="0"/>
          <w:sz w:val="28"/>
          <w:szCs w:val="28"/>
          <w:highlight w:val="none"/>
        </w:rPr>
      </w:pPr>
    </w:p>
    <w:p>
      <w:pPr>
        <w:widowControl/>
        <w:spacing w:before="312" w:beforeLines="100" w:line="360" w:lineRule="auto"/>
        <w:jc w:val="center"/>
        <w:rPr>
          <w:rStyle w:val="22"/>
          <w:rFonts w:hint="eastAsia" w:ascii="黑体" w:hAnsi="黑体" w:eastAsia="黑体" w:cs="黑体"/>
          <w:color w:val="000000"/>
          <w:kern w:val="0"/>
          <w:sz w:val="36"/>
          <w:szCs w:val="36"/>
          <w:highlight w:val="none"/>
        </w:rPr>
      </w:pPr>
      <w:r>
        <w:rPr>
          <w:rStyle w:val="22"/>
          <w:rFonts w:hint="eastAsia" w:ascii="黑体" w:hAnsi="黑体" w:eastAsia="黑体" w:cs="黑体"/>
          <w:color w:val="000000"/>
          <w:kern w:val="0"/>
          <w:sz w:val="36"/>
          <w:szCs w:val="36"/>
          <w:highlight w:val="none"/>
        </w:rPr>
        <w:t>8、法定代表人和授权代表身份证明</w:t>
      </w:r>
    </w:p>
    <w:p>
      <w:pPr>
        <w:spacing w:line="360" w:lineRule="auto"/>
        <w:jc w:val="center"/>
        <w:rPr>
          <w:rFonts w:hint="eastAsia" w:ascii="宋体" w:hAnsi="宋体" w:eastAsia="宋体" w:cs="宋体"/>
          <w:sz w:val="21"/>
          <w:szCs w:val="21"/>
          <w:highlight w:val="none"/>
        </w:rPr>
      </w:pPr>
    </w:p>
    <w:p>
      <w:pPr>
        <w:spacing w:line="360" w:lineRule="auto"/>
        <w:jc w:val="center"/>
        <w:rPr>
          <w:rFonts w:hint="eastAsia" w:ascii="宋体" w:hAnsi="宋体" w:eastAsia="宋体" w:cs="宋体"/>
          <w:sz w:val="21"/>
          <w:szCs w:val="21"/>
          <w:highlight w:val="none"/>
        </w:rPr>
      </w:pPr>
    </w:p>
    <w:p>
      <w:pPr>
        <w:spacing w:line="360" w:lineRule="auto"/>
        <w:jc w:val="center"/>
        <w:rPr>
          <w:rFonts w:hint="eastAsia" w:ascii="宋体" w:hAnsi="宋体" w:eastAsia="宋体" w:cs="宋体"/>
          <w:sz w:val="21"/>
          <w:szCs w:val="21"/>
          <w:highlight w:val="none"/>
        </w:rPr>
      </w:pPr>
    </w:p>
    <w:p>
      <w:pPr>
        <w:spacing w:line="360" w:lineRule="auto"/>
        <w:jc w:val="center"/>
        <w:rPr>
          <w:rFonts w:hint="eastAsia" w:ascii="宋体" w:hAnsi="宋体" w:eastAsia="宋体" w:cs="宋体"/>
          <w:sz w:val="21"/>
          <w:szCs w:val="21"/>
          <w:highlight w:val="none"/>
        </w:rPr>
      </w:pPr>
    </w:p>
    <w:p>
      <w:pPr>
        <w:spacing w:line="360" w:lineRule="auto"/>
        <w:jc w:val="center"/>
        <w:rPr>
          <w:rFonts w:hint="eastAsia" w:ascii="宋体" w:hAnsi="宋体" w:eastAsia="宋体" w:cs="宋体"/>
          <w:sz w:val="21"/>
          <w:szCs w:val="21"/>
          <w:highlight w:val="none"/>
        </w:rPr>
      </w:pPr>
    </w:p>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（法定代表人身份证复印件正反两面）</w:t>
      </w:r>
    </w:p>
    <w:p>
      <w:pPr>
        <w:spacing w:line="360" w:lineRule="auto"/>
        <w:jc w:val="center"/>
        <w:rPr>
          <w:rFonts w:hint="eastAsia" w:ascii="宋体" w:hAnsi="宋体" w:eastAsia="宋体" w:cs="宋体"/>
          <w:sz w:val="24"/>
          <w:szCs w:val="24"/>
          <w:highlight w:val="none"/>
        </w:rPr>
      </w:pPr>
    </w:p>
    <w:p>
      <w:pPr>
        <w:spacing w:line="360" w:lineRule="auto"/>
        <w:jc w:val="center"/>
        <w:rPr>
          <w:rFonts w:hint="eastAsia" w:ascii="宋体" w:hAnsi="宋体" w:eastAsia="宋体" w:cs="宋体"/>
          <w:sz w:val="24"/>
          <w:szCs w:val="24"/>
          <w:highlight w:val="none"/>
        </w:rPr>
      </w:pPr>
    </w:p>
    <w:p>
      <w:pPr>
        <w:spacing w:line="360" w:lineRule="auto"/>
        <w:jc w:val="center"/>
        <w:rPr>
          <w:rFonts w:hint="eastAsia" w:ascii="宋体" w:hAnsi="宋体" w:eastAsia="宋体" w:cs="宋体"/>
          <w:sz w:val="24"/>
          <w:szCs w:val="24"/>
          <w:highlight w:val="none"/>
        </w:rPr>
      </w:pPr>
    </w:p>
    <w:p>
      <w:pPr>
        <w:spacing w:line="360" w:lineRule="auto"/>
        <w:jc w:val="center"/>
        <w:rPr>
          <w:rFonts w:hint="eastAsia" w:ascii="宋体" w:hAnsi="宋体" w:eastAsia="宋体" w:cs="宋体"/>
          <w:sz w:val="24"/>
          <w:szCs w:val="24"/>
          <w:highlight w:val="none"/>
        </w:rPr>
      </w:pPr>
    </w:p>
    <w:p>
      <w:pPr>
        <w:spacing w:line="360" w:lineRule="auto"/>
        <w:jc w:val="center"/>
        <w:rPr>
          <w:rFonts w:hint="eastAsia" w:ascii="宋体" w:hAnsi="宋体" w:eastAsia="宋体" w:cs="宋体"/>
          <w:sz w:val="24"/>
          <w:szCs w:val="24"/>
          <w:highlight w:val="none"/>
        </w:rPr>
      </w:pPr>
    </w:p>
    <w:p>
      <w:pPr>
        <w:spacing w:line="360" w:lineRule="auto"/>
        <w:jc w:val="center"/>
        <w:rPr>
          <w:rFonts w:hint="eastAsia" w:ascii="宋体" w:hAnsi="宋体" w:eastAsia="宋体" w:cs="宋体"/>
          <w:sz w:val="24"/>
          <w:szCs w:val="24"/>
          <w:highlight w:val="none"/>
        </w:rPr>
      </w:pPr>
    </w:p>
    <w:p>
      <w:pPr>
        <w:spacing w:line="360" w:lineRule="auto"/>
        <w:jc w:val="center"/>
        <w:rPr>
          <w:rFonts w:hint="eastAsia" w:ascii="宋体" w:hAnsi="宋体" w:eastAsia="宋体" w:cs="宋体"/>
          <w:sz w:val="24"/>
          <w:szCs w:val="24"/>
          <w:highlight w:val="none"/>
        </w:rPr>
      </w:pPr>
    </w:p>
    <w:p>
      <w:pPr>
        <w:spacing w:line="360" w:lineRule="auto"/>
        <w:jc w:val="center"/>
        <w:rPr>
          <w:rFonts w:hint="eastAsia" w:ascii="宋体" w:hAnsi="宋体" w:eastAsia="宋体" w:cs="宋体"/>
          <w:sz w:val="24"/>
          <w:szCs w:val="24"/>
          <w:highlight w:val="none"/>
        </w:rPr>
      </w:pPr>
    </w:p>
    <w:p>
      <w:pPr>
        <w:spacing w:line="360" w:lineRule="auto"/>
        <w:jc w:val="center"/>
        <w:rPr>
          <w:rFonts w:hint="eastAsia" w:ascii="宋体" w:hAnsi="宋体" w:eastAsia="宋体" w:cs="宋体"/>
          <w:sz w:val="24"/>
          <w:szCs w:val="24"/>
          <w:highlight w:val="none"/>
        </w:rPr>
      </w:pPr>
    </w:p>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（授权代表身份证复印件正反两面）</w:t>
      </w:r>
    </w:p>
    <w:p>
      <w:pPr>
        <w:spacing w:line="360" w:lineRule="auto"/>
        <w:jc w:val="center"/>
        <w:rPr>
          <w:rFonts w:hint="eastAsia" w:ascii="宋体" w:hAnsi="宋体" w:eastAsia="宋体" w:cs="宋体"/>
          <w:sz w:val="24"/>
          <w:szCs w:val="24"/>
          <w:highlight w:val="none"/>
        </w:rPr>
      </w:pPr>
    </w:p>
    <w:p>
      <w:pPr>
        <w:spacing w:line="360" w:lineRule="auto"/>
        <w:jc w:val="center"/>
        <w:rPr>
          <w:rFonts w:hint="eastAsia" w:ascii="宋体" w:hAnsi="宋体" w:eastAsia="宋体" w:cs="宋体"/>
          <w:sz w:val="24"/>
          <w:szCs w:val="24"/>
          <w:highlight w:val="none"/>
        </w:rPr>
      </w:pPr>
    </w:p>
    <w:p>
      <w:pPr>
        <w:spacing w:line="360" w:lineRule="auto"/>
        <w:jc w:val="center"/>
        <w:rPr>
          <w:rFonts w:hint="eastAsia" w:ascii="宋体" w:hAnsi="宋体" w:eastAsia="宋体" w:cs="宋体"/>
          <w:sz w:val="24"/>
          <w:szCs w:val="24"/>
          <w:highlight w:val="none"/>
        </w:rPr>
      </w:pPr>
    </w:p>
    <w:p>
      <w:pPr>
        <w:spacing w:line="360" w:lineRule="auto"/>
        <w:jc w:val="center"/>
        <w:rPr>
          <w:rFonts w:hint="eastAsia" w:ascii="宋体" w:hAnsi="宋体" w:eastAsia="宋体" w:cs="宋体"/>
          <w:sz w:val="24"/>
          <w:szCs w:val="24"/>
          <w:highlight w:val="none"/>
        </w:rPr>
      </w:pPr>
    </w:p>
    <w:p>
      <w:pPr>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供应商全称：</w:t>
      </w:r>
    </w:p>
    <w:p>
      <w:pPr>
        <w:snapToGrid w:val="0"/>
        <w:spacing w:line="360" w:lineRule="auto"/>
        <w:jc w:val="center"/>
        <w:rPr>
          <w:rFonts w:hint="eastAsia" w:ascii="宋体" w:hAnsi="宋体" w:eastAsia="宋体" w:cs="宋体"/>
          <w:sz w:val="21"/>
          <w:szCs w:val="21"/>
          <w:highlight w:val="none"/>
        </w:rPr>
      </w:pPr>
    </w:p>
    <w:p>
      <w:pPr>
        <w:pStyle w:val="17"/>
        <w:spacing w:line="432" w:lineRule="auto"/>
        <w:jc w:val="both"/>
        <w:rPr>
          <w:rStyle w:val="22"/>
          <w:rFonts w:hint="eastAsia" w:ascii="宋体" w:hAnsi="宋体" w:eastAsia="宋体" w:cs="宋体"/>
          <w:sz w:val="21"/>
          <w:szCs w:val="21"/>
          <w:highlight w:val="none"/>
        </w:rPr>
      </w:pPr>
    </w:p>
    <w:p>
      <w:pPr>
        <w:pStyle w:val="17"/>
        <w:spacing w:line="432" w:lineRule="auto"/>
        <w:jc w:val="center"/>
        <w:rPr>
          <w:rStyle w:val="22"/>
          <w:rFonts w:hint="eastAsia" w:ascii="黑体" w:hAnsi="黑体" w:eastAsia="黑体" w:cs="黑体"/>
          <w:b/>
          <w:bCs/>
          <w:sz w:val="36"/>
          <w:szCs w:val="36"/>
          <w:highlight w:val="none"/>
        </w:rPr>
      </w:pPr>
    </w:p>
    <w:p>
      <w:pPr>
        <w:pStyle w:val="17"/>
        <w:spacing w:line="432" w:lineRule="auto"/>
        <w:jc w:val="center"/>
        <w:rPr>
          <w:rStyle w:val="22"/>
          <w:rFonts w:hint="eastAsia" w:ascii="黑体" w:hAnsi="黑体" w:eastAsia="黑体" w:cs="黑体"/>
          <w:b/>
          <w:bCs/>
          <w:sz w:val="36"/>
          <w:szCs w:val="36"/>
          <w:highlight w:val="none"/>
        </w:rPr>
      </w:pPr>
    </w:p>
    <w:p>
      <w:pPr>
        <w:pStyle w:val="17"/>
        <w:spacing w:line="432" w:lineRule="auto"/>
        <w:jc w:val="center"/>
        <w:rPr>
          <w:rFonts w:hint="eastAsia" w:ascii="黑体" w:hAnsi="黑体" w:eastAsia="黑体" w:cs="黑体"/>
          <w:b/>
          <w:bCs/>
          <w:sz w:val="36"/>
          <w:szCs w:val="36"/>
          <w:highlight w:val="none"/>
        </w:rPr>
      </w:pPr>
      <w:r>
        <w:rPr>
          <w:rStyle w:val="22"/>
          <w:rFonts w:hint="eastAsia" w:ascii="黑体" w:hAnsi="黑体" w:eastAsia="黑体" w:cs="黑体"/>
          <w:b/>
          <w:bCs/>
          <w:sz w:val="36"/>
          <w:szCs w:val="36"/>
          <w:highlight w:val="none"/>
        </w:rPr>
        <w:t>9、小微企业声明函</w:t>
      </w:r>
    </w:p>
    <w:p>
      <w:pPr>
        <w:pStyle w:val="17"/>
        <w:spacing w:line="432" w:lineRule="auto"/>
        <w:ind w:firstLine="450"/>
        <w:rPr>
          <w:rFonts w:hint="eastAsia" w:ascii="宋体" w:hAnsi="宋体" w:eastAsia="宋体" w:cs="宋体"/>
          <w:sz w:val="24"/>
          <w:szCs w:val="24"/>
          <w:highlight w:val="none"/>
        </w:rPr>
      </w:pPr>
      <w:r>
        <w:rPr>
          <w:rFonts w:hint="eastAsia" w:ascii="宋体" w:hAnsi="宋体" w:eastAsia="宋体" w:cs="宋体"/>
          <w:sz w:val="24"/>
          <w:szCs w:val="24"/>
          <w:highlight w:val="none"/>
        </w:rPr>
        <w:t>本公司郑重声明，根据《政府采购促进中小企业发展暂行办法》（财库〔2011〕181号）的规定，本公司为______（请填写：小型、微型）企业。即，本公司同时满足以下条件：</w:t>
      </w:r>
    </w:p>
    <w:p>
      <w:pPr>
        <w:pStyle w:val="17"/>
        <w:spacing w:line="432" w:lineRule="auto"/>
        <w:ind w:firstLine="450"/>
        <w:rPr>
          <w:rFonts w:hint="eastAsia" w:ascii="宋体" w:hAnsi="宋体" w:eastAsia="宋体" w:cs="宋体"/>
          <w:sz w:val="24"/>
          <w:szCs w:val="24"/>
          <w:highlight w:val="none"/>
        </w:rPr>
      </w:pPr>
      <w:r>
        <w:rPr>
          <w:rFonts w:hint="eastAsia" w:ascii="宋体" w:hAnsi="宋体" w:eastAsia="宋体" w:cs="宋体"/>
          <w:sz w:val="24"/>
          <w:szCs w:val="24"/>
          <w:highlight w:val="none"/>
        </w:rPr>
        <w:t>1.根据《工业和信息化部、国家统计局、国家发展和改革委员会、财政部关于印发中小企业划型标准规定的通知》（工信部联企业〔2011〕300号）规定的划分标准，本公司属于______行业的______（请填写：小型、微型）企业。</w:t>
      </w:r>
    </w:p>
    <w:p>
      <w:pPr>
        <w:pStyle w:val="17"/>
        <w:spacing w:line="432" w:lineRule="auto"/>
        <w:ind w:firstLine="450"/>
        <w:rPr>
          <w:rFonts w:hint="eastAsia" w:ascii="宋体" w:hAnsi="宋体" w:eastAsia="宋体" w:cs="宋体"/>
          <w:sz w:val="24"/>
          <w:szCs w:val="24"/>
          <w:highlight w:val="none"/>
        </w:rPr>
      </w:pPr>
      <w:r>
        <w:rPr>
          <w:rFonts w:hint="eastAsia" w:ascii="宋体" w:hAnsi="宋体" w:eastAsia="宋体" w:cs="宋体"/>
          <w:sz w:val="24"/>
          <w:szCs w:val="24"/>
          <w:highlight w:val="none"/>
        </w:rPr>
        <w:t>2.本公司参加______单位的______项目采购活动提供本企业制造的货物，由本企业承担工程、提供服务，或者提供其他______（请填写：小型、微型）企业制造的货物。本条所称货物不包括使用大中型企业注册商标的货物。</w:t>
      </w:r>
    </w:p>
    <w:p>
      <w:pPr>
        <w:pStyle w:val="17"/>
        <w:spacing w:line="432" w:lineRule="auto"/>
        <w:ind w:firstLine="450"/>
        <w:rPr>
          <w:rFonts w:hint="eastAsia" w:ascii="宋体" w:hAnsi="宋体" w:eastAsia="宋体" w:cs="宋体"/>
          <w:sz w:val="24"/>
          <w:szCs w:val="24"/>
          <w:highlight w:val="none"/>
        </w:rPr>
      </w:pPr>
      <w:r>
        <w:rPr>
          <w:rFonts w:hint="eastAsia" w:ascii="宋体" w:hAnsi="宋体" w:eastAsia="宋体" w:cs="宋体"/>
          <w:sz w:val="24"/>
          <w:szCs w:val="24"/>
          <w:highlight w:val="none"/>
        </w:rPr>
        <w:t>本公司对上述声明的真实性负责。如有虚假，将依法承担相应责任。</w:t>
      </w:r>
      <w:r>
        <w:rPr>
          <w:rFonts w:hint="eastAsia" w:ascii="宋体" w:hAnsi="宋体" w:eastAsia="宋体" w:cs="宋体"/>
          <w:sz w:val="24"/>
          <w:szCs w:val="24"/>
          <w:highlight w:val="none"/>
        </w:rPr>
        <w:br w:type="textWrapping"/>
      </w:r>
      <w:r>
        <w:rPr>
          <w:rFonts w:hint="eastAsia" w:ascii="宋体" w:hAnsi="宋体" w:eastAsia="宋体" w:cs="宋体"/>
          <w:sz w:val="24"/>
          <w:szCs w:val="24"/>
          <w:highlight w:val="none"/>
        </w:rPr>
        <w:t>　　</w:t>
      </w:r>
    </w:p>
    <w:p>
      <w:pPr>
        <w:pStyle w:val="17"/>
        <w:spacing w:line="432" w:lineRule="auto"/>
        <w:ind w:firstLine="450"/>
        <w:rPr>
          <w:rFonts w:hint="eastAsia" w:ascii="宋体" w:hAnsi="宋体" w:eastAsia="宋体" w:cs="宋体"/>
          <w:sz w:val="24"/>
          <w:szCs w:val="24"/>
          <w:highlight w:val="none"/>
        </w:rPr>
      </w:pPr>
      <w:r>
        <w:rPr>
          <w:rFonts w:hint="eastAsia" w:ascii="宋体" w:hAnsi="宋体" w:eastAsia="宋体" w:cs="宋体"/>
          <w:sz w:val="24"/>
          <w:szCs w:val="24"/>
          <w:highlight w:val="none"/>
        </w:rPr>
        <w:t>企业名称（盖章）：</w:t>
      </w:r>
    </w:p>
    <w:p>
      <w:pPr>
        <w:spacing w:line="360" w:lineRule="auto"/>
        <w:ind w:firstLine="420"/>
        <w:rPr>
          <w:rFonts w:hint="eastAsia" w:ascii="宋体" w:hAnsi="宋体" w:eastAsia="宋体" w:cs="宋体"/>
          <w:sz w:val="24"/>
          <w:szCs w:val="24"/>
          <w:highlight w:val="none"/>
        </w:rPr>
      </w:pPr>
    </w:p>
    <w:p>
      <w:pPr>
        <w:spacing w:line="360" w:lineRule="auto"/>
        <w:ind w:firstLine="420"/>
        <w:rPr>
          <w:rFonts w:hint="eastAsia" w:ascii="宋体" w:hAnsi="宋体" w:eastAsia="宋体" w:cs="宋体"/>
          <w:sz w:val="24"/>
          <w:szCs w:val="24"/>
          <w:highlight w:val="none"/>
        </w:rPr>
      </w:pPr>
      <w:r>
        <w:rPr>
          <w:rFonts w:hint="eastAsia" w:ascii="宋体" w:hAnsi="宋体" w:eastAsia="宋体" w:cs="宋体"/>
          <w:sz w:val="24"/>
          <w:szCs w:val="24"/>
          <w:highlight w:val="none"/>
        </w:rPr>
        <w:t>日   期：</w:t>
      </w:r>
    </w:p>
    <w:p>
      <w:pPr>
        <w:spacing w:line="360" w:lineRule="auto"/>
        <w:ind w:firstLine="420"/>
        <w:rPr>
          <w:rFonts w:hint="eastAsia" w:ascii="宋体" w:hAnsi="宋体" w:eastAsia="宋体" w:cs="宋体"/>
          <w:sz w:val="21"/>
          <w:szCs w:val="21"/>
          <w:highlight w:val="none"/>
        </w:rPr>
      </w:pPr>
    </w:p>
    <w:p>
      <w:pPr>
        <w:spacing w:line="360" w:lineRule="auto"/>
        <w:ind w:firstLine="420"/>
        <w:rPr>
          <w:rFonts w:hint="eastAsia" w:ascii="宋体" w:hAnsi="宋体" w:eastAsia="宋体" w:cs="宋体"/>
          <w:sz w:val="21"/>
          <w:szCs w:val="21"/>
          <w:highlight w:val="none"/>
        </w:rPr>
      </w:pPr>
    </w:p>
    <w:p>
      <w:pPr>
        <w:snapToGrid w:val="0"/>
        <w:spacing w:line="360" w:lineRule="auto"/>
        <w:jc w:val="center"/>
        <w:rPr>
          <w:rStyle w:val="22"/>
          <w:rFonts w:hint="eastAsia" w:ascii="宋体" w:hAnsi="宋体" w:eastAsia="宋体" w:cs="宋体"/>
          <w:sz w:val="21"/>
          <w:szCs w:val="21"/>
          <w:highlight w:val="none"/>
        </w:rPr>
      </w:pPr>
      <w:r>
        <w:rPr>
          <w:rFonts w:hint="eastAsia" w:ascii="宋体" w:hAnsi="宋体" w:eastAsia="宋体" w:cs="宋体"/>
          <w:sz w:val="21"/>
          <w:szCs w:val="21"/>
          <w:highlight w:val="none"/>
        </w:rPr>
        <w:br w:type="page"/>
      </w:r>
    </w:p>
    <w:p>
      <w:pPr>
        <w:pStyle w:val="17"/>
        <w:spacing w:line="432" w:lineRule="auto"/>
        <w:jc w:val="center"/>
        <w:rPr>
          <w:rStyle w:val="22"/>
          <w:rFonts w:hint="eastAsia" w:ascii="黑体" w:hAnsi="黑体" w:eastAsia="黑体" w:cs="黑体"/>
          <w:sz w:val="36"/>
          <w:szCs w:val="36"/>
          <w:highlight w:val="none"/>
        </w:rPr>
      </w:pPr>
      <w:r>
        <w:rPr>
          <w:rStyle w:val="22"/>
          <w:rFonts w:hint="eastAsia" w:ascii="黑体" w:hAnsi="黑体" w:eastAsia="黑体" w:cs="黑体"/>
          <w:sz w:val="36"/>
          <w:szCs w:val="36"/>
          <w:highlight w:val="none"/>
        </w:rPr>
        <w:t>10.政府采购履约担保函</w:t>
      </w:r>
    </w:p>
    <w:p>
      <w:pPr>
        <w:rPr>
          <w:rFonts w:hint="eastAsia" w:ascii="宋体" w:hAnsi="宋体" w:eastAsia="宋体" w:cs="宋体"/>
          <w:sz w:val="21"/>
          <w:szCs w:val="21"/>
          <w:highlight w:val="none"/>
        </w:rPr>
      </w:pPr>
    </w:p>
    <w:p>
      <w:pPr>
        <w:ind w:firstLine="5808" w:firstLineChars="2400"/>
        <w:rPr>
          <w:rFonts w:hint="eastAsia" w:ascii="宋体" w:hAnsi="宋体" w:eastAsia="宋体" w:cs="宋体"/>
          <w:sz w:val="24"/>
          <w:szCs w:val="24"/>
          <w:highlight w:val="none"/>
        </w:rPr>
      </w:pPr>
      <w:r>
        <w:rPr>
          <w:rFonts w:hint="eastAsia" w:ascii="宋体" w:hAnsi="宋体" w:eastAsia="宋体" w:cs="宋体"/>
          <w:sz w:val="24"/>
          <w:szCs w:val="24"/>
          <w:highlight w:val="none"/>
        </w:rPr>
        <w:t>编号：</w:t>
      </w:r>
    </w:p>
    <w:p>
      <w:pPr>
        <w:ind w:firstLine="5088" w:firstLineChars="2400"/>
        <w:rPr>
          <w:rFonts w:hint="eastAsia" w:ascii="宋体" w:hAnsi="宋体" w:eastAsia="宋体" w:cs="宋体"/>
          <w:sz w:val="21"/>
          <w:szCs w:val="21"/>
          <w:highlight w:val="none"/>
        </w:rPr>
      </w:pPr>
    </w:p>
    <w:p>
      <w:pPr>
        <w:spacing w:line="360" w:lineRule="auto"/>
        <w:ind w:firstLine="484"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正信伟业工程咨询管理有限公司</w:t>
      </w:r>
      <w:r>
        <w:rPr>
          <w:rFonts w:hint="eastAsia" w:ascii="宋体" w:hAnsi="宋体" w:eastAsia="宋体" w:cs="宋体"/>
          <w:sz w:val="24"/>
          <w:szCs w:val="24"/>
          <w:highlight w:val="none"/>
        </w:rPr>
        <w:t>：</w:t>
      </w:r>
    </w:p>
    <w:p>
      <w:pPr>
        <w:spacing w:line="360" w:lineRule="auto"/>
        <w:ind w:firstLine="484"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鉴于（以下简称供应商）已于年月日签订编号为的</w:t>
      </w:r>
      <w:r>
        <w:rPr>
          <w:rFonts w:hint="eastAsia" w:ascii="宋体" w:hAnsi="宋体" w:eastAsia="宋体" w:cs="宋体"/>
          <w:sz w:val="24"/>
          <w:szCs w:val="24"/>
          <w:highlight w:val="none"/>
          <w:u w:val="single"/>
        </w:rPr>
        <w:t>《            采购合同》</w:t>
      </w:r>
      <w:r>
        <w:rPr>
          <w:rFonts w:hint="eastAsia" w:ascii="宋体" w:hAnsi="宋体" w:eastAsia="宋体" w:cs="宋体"/>
          <w:sz w:val="24"/>
          <w:szCs w:val="24"/>
          <w:highlight w:val="none"/>
        </w:rPr>
        <w:t>（以下简称主合同），且依据该合同的约定，供应商应在年月日前向你方交纳履约保证金，且可以履约担保函的形式交纳履约保证金。应供应商的申请，我方以保证的方式向你方提供如下履约保证金担保：</w:t>
      </w:r>
    </w:p>
    <w:p>
      <w:pPr>
        <w:spacing w:line="360" w:lineRule="auto"/>
        <w:ind w:firstLine="484"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一、保证责任的情形及保证金额</w:t>
      </w:r>
    </w:p>
    <w:p>
      <w:pPr>
        <w:spacing w:line="360" w:lineRule="auto"/>
        <w:ind w:firstLine="484"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（一）在供应商出现下列情形之一时，我方承担保证责任：</w:t>
      </w:r>
    </w:p>
    <w:p>
      <w:pPr>
        <w:spacing w:line="360" w:lineRule="auto"/>
        <w:ind w:firstLine="484"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1、将</w:t>
      </w:r>
      <w:r>
        <w:rPr>
          <w:rFonts w:hint="eastAsia" w:ascii="宋体" w:hAnsi="宋体" w:eastAsia="宋体" w:cs="宋体"/>
          <w:sz w:val="24"/>
          <w:szCs w:val="24"/>
          <w:highlight w:val="none"/>
          <w:lang w:eastAsia="zh-CN"/>
        </w:rPr>
        <w:t>成交</w:t>
      </w:r>
      <w:r>
        <w:rPr>
          <w:rFonts w:hint="eastAsia" w:ascii="宋体" w:hAnsi="宋体" w:eastAsia="宋体" w:cs="宋体"/>
          <w:sz w:val="24"/>
          <w:szCs w:val="24"/>
          <w:highlight w:val="none"/>
        </w:rPr>
        <w:t>项目转让给他人，或者在</w:t>
      </w:r>
      <w:r>
        <w:rPr>
          <w:rFonts w:hint="eastAsia" w:ascii="宋体" w:hAnsi="宋体" w:eastAsia="宋体" w:cs="宋体"/>
          <w:sz w:val="24"/>
          <w:szCs w:val="24"/>
          <w:highlight w:val="none"/>
          <w:lang w:val="en-US" w:eastAsia="zh-CN"/>
        </w:rPr>
        <w:t>响应</w:t>
      </w:r>
      <w:r>
        <w:rPr>
          <w:rFonts w:hint="eastAsia" w:ascii="宋体" w:hAnsi="宋体" w:eastAsia="宋体" w:cs="宋体"/>
          <w:sz w:val="24"/>
          <w:szCs w:val="24"/>
          <w:highlight w:val="none"/>
        </w:rPr>
        <w:t>文件中未说明，且未经代理机构同意，将</w:t>
      </w:r>
      <w:r>
        <w:rPr>
          <w:rFonts w:hint="eastAsia" w:ascii="宋体" w:hAnsi="宋体" w:eastAsia="宋体" w:cs="宋体"/>
          <w:sz w:val="24"/>
          <w:szCs w:val="24"/>
          <w:highlight w:val="none"/>
          <w:lang w:eastAsia="zh-CN"/>
        </w:rPr>
        <w:t>成交</w:t>
      </w:r>
      <w:r>
        <w:rPr>
          <w:rFonts w:hint="eastAsia" w:ascii="宋体" w:hAnsi="宋体" w:eastAsia="宋体" w:cs="宋体"/>
          <w:sz w:val="24"/>
          <w:szCs w:val="24"/>
          <w:highlight w:val="none"/>
        </w:rPr>
        <w:t>项目分包给他人的。</w:t>
      </w:r>
    </w:p>
    <w:p>
      <w:pPr>
        <w:spacing w:line="360" w:lineRule="auto"/>
        <w:ind w:firstLine="484"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2、主合同约定的应当缴纳履约保证金的情形：</w:t>
      </w:r>
    </w:p>
    <w:p>
      <w:pPr>
        <w:spacing w:line="360" w:lineRule="auto"/>
        <w:ind w:firstLine="484"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（1）未按主合同约定的质量、数量和期限供应货物或完成工程的；</w:t>
      </w:r>
    </w:p>
    <w:p>
      <w:pPr>
        <w:spacing w:line="360" w:lineRule="auto"/>
        <w:ind w:firstLine="484"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w:t>
      </w:r>
    </w:p>
    <w:p>
      <w:pPr>
        <w:spacing w:line="360" w:lineRule="auto"/>
        <w:ind w:firstLine="484"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（二）我方的保证范围是主合同约定的合同价款总额的% ，数额为元（大写），币种为。即主合同履约保证金金额。</w:t>
      </w:r>
    </w:p>
    <w:p>
      <w:pPr>
        <w:spacing w:line="360" w:lineRule="auto"/>
        <w:ind w:firstLine="484"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二、保证的方式及保证期</w:t>
      </w:r>
    </w:p>
    <w:p>
      <w:pPr>
        <w:spacing w:line="360" w:lineRule="auto"/>
        <w:ind w:firstLine="484"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我方保证的方式为：连带责任保证。</w:t>
      </w:r>
    </w:p>
    <w:p>
      <w:pPr>
        <w:spacing w:line="360" w:lineRule="auto"/>
        <w:ind w:firstLine="484"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我方保证的期间为：自本保函生效之日起至供应商按照主合同约定的供货／完工期限届满后日内。</w:t>
      </w:r>
    </w:p>
    <w:p>
      <w:pPr>
        <w:spacing w:line="360" w:lineRule="auto"/>
        <w:ind w:firstLine="484"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如果供应商未按主合同约定向贵方供应货物／提供服务／完成工程的，由我方在保证金额内向你方支付上述款项。</w:t>
      </w:r>
    </w:p>
    <w:p>
      <w:pPr>
        <w:spacing w:line="360" w:lineRule="auto"/>
        <w:ind w:firstLine="484"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三、承担保证责任的程序</w:t>
      </w:r>
    </w:p>
    <w:p>
      <w:pPr>
        <w:spacing w:line="360" w:lineRule="auto"/>
        <w:ind w:firstLine="484"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1、你方要求我方承担保证责任的，应在本保函保证期间内向我方发出书面索赔通知。索赔通知应写明要求索赔的金额，支付款项应到达的账号，并附有证明供应商违约事实的证明材料。</w:t>
      </w:r>
    </w:p>
    <w:p>
      <w:pPr>
        <w:spacing w:line="360" w:lineRule="auto"/>
        <w:ind w:firstLine="484"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如果你方与供应商因货物质量问题发生争议，你方还需同时提供部门出具的质量检测报告，或经诉讼（仲裁）程序裁决后的裁决书、调解书，本保证人即按照检测结果或裁决书、调解书决定是否承担保证责任。</w:t>
      </w:r>
    </w:p>
    <w:p>
      <w:pPr>
        <w:spacing w:line="360" w:lineRule="auto"/>
        <w:ind w:firstLine="484"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2、我方在收到你方的书面索赔通知及相关证明材料，在工作日内进行核定后按照本保函的承诺承担保证责任。</w:t>
      </w:r>
    </w:p>
    <w:p>
      <w:pPr>
        <w:spacing w:line="360" w:lineRule="auto"/>
        <w:ind w:firstLine="484"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四、保证责任的终止</w:t>
      </w:r>
    </w:p>
    <w:p>
      <w:pPr>
        <w:spacing w:line="360" w:lineRule="auto"/>
        <w:ind w:firstLine="484"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保证期间届满你方未向我方书面主张保证责任的，自保证期届满次日起，我方保证责任自动终止。保证期间届满前，主合同约定的货物／工程／服务全部验收合格的，自验收合格日期，我方保证责任自动终止。</w:t>
      </w:r>
    </w:p>
    <w:p>
      <w:pPr>
        <w:spacing w:line="360" w:lineRule="auto"/>
        <w:ind w:firstLine="484"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2、我方按照本保函向你方履行了保证责任后，我方向你方支付款项（支付款项从我方账户划出）之日起，保证责任即终止。</w:t>
      </w:r>
    </w:p>
    <w:p>
      <w:pPr>
        <w:spacing w:line="360" w:lineRule="auto"/>
        <w:ind w:firstLine="484"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3、按照法律法规的规定或出现应终止我方保证责任的其他情形的，我方在本保函项下的保证责任亦终止。</w:t>
      </w:r>
    </w:p>
    <w:p>
      <w:pPr>
        <w:spacing w:line="360" w:lineRule="auto"/>
        <w:ind w:firstLine="484"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你方同意供应商修改主合同，加重我方保证责任的，我方对加重部分不承担保证责任，但该等修改事先经我方书面同意的除外；你方同意修改主合同履行期限，我方保证期间仍依修改前的履行期限计算，但该等修改事先经我方书面同意的除外。</w:t>
      </w:r>
    </w:p>
    <w:p>
      <w:pPr>
        <w:spacing w:line="360" w:lineRule="auto"/>
        <w:ind w:firstLine="484"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五、免责条款</w:t>
      </w:r>
    </w:p>
    <w:p>
      <w:pPr>
        <w:spacing w:line="360" w:lineRule="auto"/>
        <w:ind w:firstLine="484"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1、因你方同意修改主合同致使供应商不能履行义务的，我方不承担保证责任。</w:t>
      </w:r>
    </w:p>
    <w:p>
      <w:pPr>
        <w:spacing w:line="360" w:lineRule="auto"/>
        <w:ind w:firstLine="484"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2、依照法律法规的规定或你方同意供应商的另行约定，全部或者部分免除供应商应缴纳的保证金义务的，我方亦免除相应的保证责任。</w:t>
      </w:r>
    </w:p>
    <w:p>
      <w:pPr>
        <w:spacing w:line="360" w:lineRule="auto"/>
        <w:ind w:firstLine="484"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3、因不可抗力造成供应商不能履行供货义务的，我方不承担保证责任。</w:t>
      </w:r>
    </w:p>
    <w:p>
      <w:pPr>
        <w:spacing w:line="360" w:lineRule="auto"/>
        <w:ind w:firstLine="484"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六、争议的解决</w:t>
      </w:r>
    </w:p>
    <w:p>
      <w:pPr>
        <w:spacing w:line="360" w:lineRule="auto"/>
        <w:ind w:firstLine="484"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因本保函发生的纠纷，由你我双方协商解决，协商不成的，通过诉讼程序解决，诉讼管辖地法院为法院。</w:t>
      </w:r>
    </w:p>
    <w:p>
      <w:pPr>
        <w:spacing w:line="360" w:lineRule="auto"/>
        <w:ind w:firstLine="484"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七、保函的生效</w:t>
      </w:r>
    </w:p>
    <w:p>
      <w:pPr>
        <w:spacing w:line="360" w:lineRule="auto"/>
        <w:ind w:firstLine="484"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本保函自我方加盖公章之日起生效。</w:t>
      </w:r>
    </w:p>
    <w:p>
      <w:pPr>
        <w:ind w:firstLine="570"/>
        <w:jc w:val="right"/>
        <w:rPr>
          <w:rFonts w:hint="eastAsia" w:ascii="宋体" w:hAnsi="宋体" w:eastAsia="宋体" w:cs="宋体"/>
          <w:sz w:val="24"/>
          <w:szCs w:val="24"/>
          <w:highlight w:val="none"/>
        </w:rPr>
      </w:pPr>
    </w:p>
    <w:p>
      <w:pPr>
        <w:jc w:val="right"/>
        <w:rPr>
          <w:rFonts w:hint="eastAsia" w:ascii="宋体" w:hAnsi="宋体" w:eastAsia="宋体" w:cs="宋体"/>
          <w:sz w:val="24"/>
          <w:szCs w:val="24"/>
          <w:highlight w:val="none"/>
        </w:rPr>
      </w:pPr>
      <w:r>
        <w:rPr>
          <w:rFonts w:hint="eastAsia" w:ascii="宋体" w:hAnsi="宋体" w:eastAsia="宋体" w:cs="宋体"/>
          <w:sz w:val="24"/>
          <w:szCs w:val="24"/>
          <w:highlight w:val="none"/>
        </w:rPr>
        <w:t>保证人：（公章）</w:t>
      </w:r>
    </w:p>
    <w:p>
      <w:pPr>
        <w:jc w:val="right"/>
        <w:rPr>
          <w:rFonts w:hint="eastAsia" w:ascii="宋体" w:hAnsi="宋体" w:eastAsia="宋体" w:cs="宋体"/>
          <w:sz w:val="21"/>
          <w:szCs w:val="21"/>
          <w:highlight w:val="none"/>
        </w:rPr>
      </w:pPr>
    </w:p>
    <w:p>
      <w:pPr>
        <w:jc w:val="right"/>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 xml:space="preserve"> 年   月   日</w:t>
      </w:r>
    </w:p>
    <w:p>
      <w:pPr>
        <w:snapToGrid w:val="0"/>
        <w:spacing w:line="360" w:lineRule="auto"/>
        <w:jc w:val="center"/>
        <w:rPr>
          <w:rFonts w:hint="eastAsia" w:ascii="Tahoma" w:hAnsi="Tahoma"/>
          <w:b/>
          <w:sz w:val="24"/>
          <w:lang w:val="en-US" w:eastAsia="zh-CN"/>
        </w:rPr>
      </w:pPr>
      <w:bookmarkStart w:id="61" w:name="OLE_LINK14"/>
      <w:bookmarkStart w:id="62" w:name="OLE_LINK13"/>
    </w:p>
    <w:p>
      <w:pPr>
        <w:snapToGrid w:val="0"/>
        <w:spacing w:line="360" w:lineRule="auto"/>
        <w:jc w:val="center"/>
        <w:rPr>
          <w:rFonts w:hint="eastAsia" w:ascii="Tahoma" w:hAnsi="Tahoma"/>
          <w:b/>
          <w:sz w:val="24"/>
          <w:lang w:val="en-US" w:eastAsia="zh-CN"/>
        </w:rPr>
      </w:pPr>
    </w:p>
    <w:p>
      <w:pPr>
        <w:snapToGrid w:val="0"/>
        <w:spacing w:line="360" w:lineRule="auto"/>
        <w:jc w:val="center"/>
        <w:rPr>
          <w:rFonts w:hint="eastAsia" w:ascii="Tahoma" w:hAnsi="Tahoma"/>
          <w:b/>
          <w:sz w:val="24"/>
          <w:lang w:val="en-US" w:eastAsia="zh-CN"/>
        </w:rPr>
      </w:pPr>
    </w:p>
    <w:p>
      <w:pPr>
        <w:pStyle w:val="17"/>
        <w:spacing w:line="432" w:lineRule="auto"/>
        <w:jc w:val="center"/>
        <w:rPr>
          <w:rStyle w:val="22"/>
          <w:rFonts w:hint="eastAsia" w:ascii="黑体" w:hAnsi="黑体" w:eastAsia="黑体" w:cs="黑体"/>
          <w:sz w:val="36"/>
          <w:szCs w:val="36"/>
          <w:highlight w:val="none"/>
        </w:rPr>
      </w:pPr>
      <w:r>
        <w:rPr>
          <w:rStyle w:val="22"/>
          <w:rFonts w:hint="eastAsia" w:ascii="黑体" w:hAnsi="黑体" w:eastAsia="黑体" w:cs="黑体"/>
          <w:sz w:val="36"/>
          <w:szCs w:val="36"/>
          <w:highlight w:val="none"/>
          <w:lang w:val="en-US" w:eastAsia="zh-CN"/>
        </w:rPr>
        <w:t>11</w:t>
      </w:r>
      <w:r>
        <w:rPr>
          <w:rStyle w:val="22"/>
          <w:rFonts w:hint="eastAsia" w:ascii="黑体" w:hAnsi="黑体" w:eastAsia="黑体" w:cs="黑体"/>
          <w:sz w:val="36"/>
          <w:szCs w:val="36"/>
          <w:highlight w:val="none"/>
        </w:rPr>
        <w:t>.残疾人福利性单位声明函</w:t>
      </w:r>
    </w:p>
    <w:bookmarkEnd w:id="61"/>
    <w:bookmarkEnd w:id="62"/>
    <w:p>
      <w:pPr>
        <w:spacing w:line="588" w:lineRule="exact"/>
        <w:rPr>
          <w:rFonts w:ascii="仿宋_GB2312" w:eastAsia="仿宋_GB2312"/>
          <w:b/>
          <w:spacing w:val="6"/>
          <w:sz w:val="30"/>
          <w:szCs w:val="30"/>
        </w:rPr>
      </w:pPr>
    </w:p>
    <w:p>
      <w:pPr>
        <w:widowControl/>
        <w:spacing w:before="100" w:beforeAutospacing="1" w:after="100" w:afterAutospacing="1" w:line="432" w:lineRule="auto"/>
        <w:ind w:firstLine="450"/>
        <w:jc w:val="left"/>
        <w:rPr>
          <w:rFonts w:hint="eastAsia" w:ascii="宋体"/>
          <w:color w:val="000000"/>
          <w:sz w:val="24"/>
        </w:rPr>
      </w:pPr>
      <w:r>
        <w:rPr>
          <w:rFonts w:hint="eastAsia" w:ascii="宋体"/>
          <w:color w:val="000000"/>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color w:val="000000"/>
          <w:sz w:val="24"/>
          <w:u w:val="single"/>
        </w:rPr>
        <w:t>（采购单位名称）</w:t>
      </w:r>
      <w:r>
        <w:rPr>
          <w:rFonts w:hint="eastAsia" w:ascii="宋体"/>
          <w:color w:val="000000"/>
          <w:sz w:val="24"/>
        </w:rPr>
        <w:t>单位的</w:t>
      </w:r>
      <w:r>
        <w:rPr>
          <w:rFonts w:hint="eastAsia" w:ascii="宋体"/>
          <w:color w:val="000000"/>
          <w:sz w:val="24"/>
          <w:u w:val="single"/>
        </w:rPr>
        <w:t>（采购项目名称）</w:t>
      </w:r>
      <w:r>
        <w:rPr>
          <w:rFonts w:hint="eastAsia" w:ascii="宋体"/>
          <w:color w:val="000000"/>
          <w:sz w:val="24"/>
        </w:rPr>
        <w:t>项目采购活动提供本单位制造的货物（由本单位承担工程/提供服务），或者提供其他残疾人福利性单位制造的货物（不包括使用非残疾人福利性单位注册商标的货物）。</w:t>
      </w:r>
    </w:p>
    <w:p>
      <w:pPr>
        <w:widowControl/>
        <w:spacing w:before="100" w:beforeAutospacing="1" w:after="100" w:afterAutospacing="1" w:line="432" w:lineRule="auto"/>
        <w:ind w:firstLine="450"/>
        <w:jc w:val="left"/>
        <w:rPr>
          <w:rFonts w:hint="eastAsia" w:ascii="宋体"/>
          <w:color w:val="000000"/>
          <w:sz w:val="24"/>
        </w:rPr>
      </w:pPr>
      <w:r>
        <w:rPr>
          <w:rFonts w:hint="eastAsia" w:ascii="宋体"/>
          <w:color w:val="000000"/>
          <w:sz w:val="24"/>
        </w:rPr>
        <w:t>本单位对上述声明的真实性负责。如有虚假，将依法承担相应责任。</w:t>
      </w:r>
    </w:p>
    <w:p>
      <w:pPr>
        <w:widowControl/>
        <w:spacing w:before="100" w:beforeAutospacing="1" w:after="100" w:afterAutospacing="1" w:line="432" w:lineRule="auto"/>
        <w:ind w:firstLine="450"/>
        <w:jc w:val="left"/>
        <w:rPr>
          <w:rFonts w:hint="eastAsia" w:ascii="宋体"/>
          <w:color w:val="000000"/>
          <w:sz w:val="24"/>
        </w:rPr>
      </w:pPr>
    </w:p>
    <w:p>
      <w:pPr>
        <w:widowControl/>
        <w:spacing w:before="100" w:beforeAutospacing="1" w:after="100" w:afterAutospacing="1" w:line="432" w:lineRule="auto"/>
        <w:ind w:firstLine="450"/>
        <w:jc w:val="left"/>
        <w:rPr>
          <w:rFonts w:hint="eastAsia" w:ascii="宋体"/>
          <w:color w:val="000000"/>
          <w:sz w:val="24"/>
        </w:rPr>
      </w:pPr>
    </w:p>
    <w:p>
      <w:pPr>
        <w:widowControl/>
        <w:spacing w:before="100" w:beforeAutospacing="1" w:after="100" w:afterAutospacing="1" w:line="432" w:lineRule="auto"/>
        <w:ind w:firstLine="484" w:firstLineChars="200"/>
        <w:jc w:val="left"/>
        <w:rPr>
          <w:rFonts w:hint="eastAsia" w:ascii="宋体"/>
          <w:color w:val="000000"/>
          <w:sz w:val="24"/>
        </w:rPr>
      </w:pPr>
      <w:r>
        <w:rPr>
          <w:rFonts w:hint="eastAsia" w:ascii="宋体"/>
          <w:color w:val="000000"/>
          <w:sz w:val="24"/>
        </w:rPr>
        <w:t>单位名称（盖章）：</w:t>
      </w:r>
    </w:p>
    <w:p>
      <w:pPr>
        <w:widowControl/>
        <w:spacing w:before="100" w:beforeAutospacing="1" w:after="100" w:afterAutospacing="1" w:line="432" w:lineRule="auto"/>
        <w:ind w:firstLine="450"/>
        <w:jc w:val="left"/>
        <w:rPr>
          <w:rFonts w:hint="eastAsia" w:ascii="宋体"/>
          <w:sz w:val="24"/>
        </w:rPr>
      </w:pPr>
      <w:r>
        <w:rPr>
          <w:rFonts w:hint="eastAsia" w:ascii="宋体"/>
          <w:color w:val="000000"/>
          <w:sz w:val="24"/>
        </w:rPr>
        <w:t>日  期：</w:t>
      </w:r>
    </w:p>
    <w:p>
      <w:pPr>
        <w:snapToGrid w:val="0"/>
        <w:spacing w:line="360" w:lineRule="auto"/>
        <w:jc w:val="center"/>
        <w:rPr>
          <w:rFonts w:hint="eastAsia" w:ascii="宋体" w:hAnsi="宋体" w:eastAsia="宋体" w:cs="宋体"/>
          <w:sz w:val="21"/>
          <w:szCs w:val="21"/>
          <w:highlight w:val="none"/>
        </w:rPr>
      </w:pPr>
    </w:p>
    <w:p>
      <w:pPr>
        <w:snapToGrid w:val="0"/>
        <w:spacing w:line="360" w:lineRule="auto"/>
        <w:jc w:val="center"/>
        <w:rPr>
          <w:rFonts w:hint="eastAsia" w:ascii="宋体" w:hAnsi="宋体" w:eastAsia="宋体" w:cs="宋体"/>
          <w:sz w:val="21"/>
          <w:szCs w:val="21"/>
          <w:highlight w:val="none"/>
        </w:rPr>
      </w:pPr>
    </w:p>
    <w:p>
      <w:pPr>
        <w:snapToGrid w:val="0"/>
        <w:spacing w:line="360" w:lineRule="auto"/>
        <w:jc w:val="center"/>
        <w:rPr>
          <w:rFonts w:hint="eastAsia" w:ascii="宋体" w:hAnsi="宋体" w:eastAsia="宋体" w:cs="宋体"/>
          <w:sz w:val="21"/>
          <w:szCs w:val="21"/>
          <w:highlight w:val="none"/>
        </w:rPr>
      </w:pPr>
    </w:p>
    <w:p>
      <w:pPr>
        <w:rPr>
          <w:rFonts w:hint="eastAsia" w:ascii="宋体" w:hAnsi="宋体" w:eastAsia="宋体" w:cs="宋体"/>
          <w:sz w:val="21"/>
          <w:szCs w:val="21"/>
          <w:highlight w:val="none"/>
        </w:rPr>
      </w:pPr>
    </w:p>
    <w:p>
      <w:pPr>
        <w:wordWrap/>
        <w:jc w:val="center"/>
        <w:rPr>
          <w:rStyle w:val="22"/>
          <w:rFonts w:hint="eastAsia" w:ascii="宋体" w:hAnsi="宋体" w:eastAsia="宋体" w:cs="宋体"/>
          <w:b/>
          <w:bCs/>
          <w:sz w:val="28"/>
          <w:szCs w:val="28"/>
          <w:highlight w:val="none"/>
          <w:lang w:val="en-US" w:eastAsia="zh-CN"/>
        </w:rPr>
      </w:pPr>
    </w:p>
    <w:p>
      <w:pPr>
        <w:wordWrap/>
        <w:jc w:val="center"/>
        <w:rPr>
          <w:rStyle w:val="22"/>
          <w:rFonts w:hint="eastAsia" w:ascii="黑体" w:hAnsi="黑体" w:eastAsia="黑体" w:cs="黑体"/>
          <w:b/>
          <w:bCs/>
          <w:sz w:val="30"/>
          <w:szCs w:val="30"/>
          <w:highlight w:val="none"/>
          <w:lang w:val="en-US" w:eastAsia="zh-CN"/>
        </w:rPr>
      </w:pPr>
    </w:p>
    <w:p>
      <w:pPr>
        <w:wordWrap/>
        <w:jc w:val="center"/>
        <w:rPr>
          <w:rStyle w:val="22"/>
          <w:rFonts w:hint="eastAsia" w:ascii="黑体" w:hAnsi="黑体" w:eastAsia="黑体" w:cs="黑体"/>
          <w:b/>
          <w:bCs/>
          <w:sz w:val="30"/>
          <w:szCs w:val="30"/>
          <w:highlight w:val="none"/>
          <w:lang w:val="en-US" w:eastAsia="zh-CN"/>
        </w:rPr>
      </w:pPr>
    </w:p>
    <w:p>
      <w:pPr>
        <w:wordWrap/>
        <w:jc w:val="center"/>
        <w:rPr>
          <w:rStyle w:val="22"/>
          <w:rFonts w:hint="eastAsia" w:ascii="黑体" w:hAnsi="黑体" w:eastAsia="黑体" w:cs="黑体"/>
          <w:b/>
          <w:bCs/>
          <w:sz w:val="30"/>
          <w:szCs w:val="30"/>
          <w:highlight w:val="none"/>
          <w:lang w:val="en-US" w:eastAsia="zh-CN"/>
        </w:rPr>
      </w:pPr>
    </w:p>
    <w:p>
      <w:pPr>
        <w:wordWrap/>
        <w:jc w:val="both"/>
        <w:rPr>
          <w:rStyle w:val="22"/>
          <w:rFonts w:hint="eastAsia" w:ascii="黑体" w:hAnsi="黑体" w:eastAsia="黑体" w:cs="黑体"/>
          <w:b/>
          <w:bCs/>
          <w:sz w:val="30"/>
          <w:szCs w:val="30"/>
          <w:highlight w:val="none"/>
          <w:lang w:val="en-US" w:eastAsia="zh-CN"/>
        </w:rPr>
      </w:pPr>
    </w:p>
    <w:p>
      <w:pPr>
        <w:wordWrap/>
        <w:jc w:val="center"/>
        <w:rPr>
          <w:rFonts w:hint="eastAsia" w:ascii="黑体" w:hAnsi="黑体" w:eastAsia="黑体" w:cs="黑体"/>
          <w:b/>
          <w:bCs/>
          <w:sz w:val="30"/>
          <w:szCs w:val="30"/>
          <w:highlight w:val="none"/>
        </w:rPr>
      </w:pPr>
      <w:r>
        <w:rPr>
          <w:rStyle w:val="22"/>
          <w:rFonts w:hint="eastAsia" w:ascii="黑体" w:hAnsi="黑体" w:eastAsia="黑体" w:cs="黑体"/>
          <w:b/>
          <w:bCs/>
          <w:sz w:val="30"/>
          <w:szCs w:val="30"/>
          <w:highlight w:val="none"/>
          <w:lang w:val="en-US" w:eastAsia="zh-CN"/>
        </w:rPr>
        <w:t>12.</w:t>
      </w:r>
      <w:r>
        <w:rPr>
          <w:rStyle w:val="22"/>
          <w:rFonts w:hint="eastAsia" w:ascii="黑体" w:hAnsi="黑体" w:eastAsia="黑体" w:cs="黑体"/>
          <w:b/>
          <w:bCs/>
          <w:sz w:val="30"/>
          <w:szCs w:val="30"/>
          <w:highlight w:val="none"/>
        </w:rPr>
        <w:t>没有重大违法记录的声明</w:t>
      </w:r>
    </w:p>
    <w:p>
      <w:pPr>
        <w:wordWrap/>
        <w:jc w:val="left"/>
        <w:rPr>
          <w:rFonts w:hint="eastAsia" w:ascii="宋体" w:hAnsi="宋体" w:eastAsia="宋体" w:cs="宋体"/>
          <w:sz w:val="21"/>
          <w:szCs w:val="21"/>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4" w:firstLineChars="200"/>
        <w:jc w:val="left"/>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4" w:firstLineChars="200"/>
        <w:jc w:val="left"/>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4" w:firstLineChars="200"/>
        <w:jc w:val="left"/>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4"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我方声明在参加政府采购活动前3年内在经营活动中没有重大违法记录（重大违法记录是指供应商因违法经营收到刑事处罚或者责令停产停业、吊销许可证或者执照、较大数额罚款等行政处罚。） </w:t>
      </w:r>
    </w:p>
    <w:p>
      <w:pPr>
        <w:keepNext w:val="0"/>
        <w:keepLines w:val="0"/>
        <w:pageBreakBefore w:val="0"/>
        <w:widowControl w:val="0"/>
        <w:kinsoku/>
        <w:wordWrap/>
        <w:overflowPunct/>
        <w:topLinePunct w:val="0"/>
        <w:autoSpaceDE/>
        <w:autoSpaceDN/>
        <w:bidi w:val="0"/>
        <w:adjustRightInd/>
        <w:snapToGrid/>
        <w:spacing w:line="360" w:lineRule="auto"/>
        <w:ind w:firstLine="484" w:firstLineChars="200"/>
        <w:jc w:val="left"/>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4" w:firstLineChars="200"/>
        <w:jc w:val="left"/>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4" w:firstLineChars="200"/>
        <w:jc w:val="left"/>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4" w:firstLineChars="200"/>
        <w:jc w:val="left"/>
        <w:textAlignment w:val="auto"/>
        <w:rPr>
          <w:rFonts w:hint="eastAsia" w:ascii="宋体" w:hAnsi="宋体" w:eastAsia="宋体" w:cs="宋体"/>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4"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供应商</w:t>
      </w:r>
      <w:r>
        <w:rPr>
          <w:rFonts w:hint="eastAsia" w:ascii="宋体" w:hAnsi="宋体" w:eastAsia="宋体" w:cs="宋体"/>
          <w:sz w:val="24"/>
          <w:szCs w:val="24"/>
          <w:highlight w:val="none"/>
        </w:rPr>
        <w:t>授权代表签字：</w:t>
      </w:r>
    </w:p>
    <w:p>
      <w:pPr>
        <w:keepNext w:val="0"/>
        <w:keepLines w:val="0"/>
        <w:pageBreakBefore w:val="0"/>
        <w:widowControl w:val="0"/>
        <w:kinsoku/>
        <w:wordWrap/>
        <w:overflowPunct/>
        <w:topLinePunct w:val="0"/>
        <w:autoSpaceDE/>
        <w:autoSpaceDN/>
        <w:bidi w:val="0"/>
        <w:adjustRightInd/>
        <w:snapToGrid/>
        <w:spacing w:line="360" w:lineRule="auto"/>
        <w:ind w:firstLine="484" w:firstLineChars="200"/>
        <w:jc w:val="left"/>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供应商</w:t>
      </w:r>
      <w:r>
        <w:rPr>
          <w:rFonts w:hint="eastAsia" w:ascii="宋体" w:hAnsi="宋体" w:eastAsia="宋体" w:cs="宋体"/>
          <w:sz w:val="24"/>
          <w:szCs w:val="24"/>
          <w:highlight w:val="none"/>
        </w:rPr>
        <w:t>名称（盖公章）：</w:t>
      </w:r>
    </w:p>
    <w:p>
      <w:pPr>
        <w:ind w:left="483" w:leftChars="228" w:firstLine="7986" w:firstLineChars="3300"/>
        <w:jc w:val="left"/>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 xml:space="preserve"> </w:t>
      </w:r>
    </w:p>
    <w:p>
      <w:pPr>
        <w:ind w:left="483" w:leftChars="228" w:firstLine="7986" w:firstLineChars="3300"/>
        <w:jc w:val="left"/>
        <w:rPr>
          <w:rFonts w:hint="eastAsia" w:ascii="宋体" w:hAnsi="宋体" w:eastAsia="宋体" w:cs="宋体"/>
          <w:sz w:val="24"/>
          <w:szCs w:val="24"/>
          <w:highlight w:val="none"/>
          <w:lang w:val="en-US" w:eastAsia="zh-CN"/>
        </w:rPr>
      </w:pPr>
    </w:p>
    <w:p>
      <w:pPr>
        <w:ind w:left="483" w:leftChars="228" w:firstLine="7986" w:firstLineChars="3300"/>
        <w:jc w:val="left"/>
        <w:rPr>
          <w:rFonts w:hint="eastAsia" w:ascii="宋体" w:hAnsi="宋体" w:eastAsia="宋体" w:cs="宋体"/>
          <w:sz w:val="24"/>
          <w:szCs w:val="24"/>
          <w:highlight w:val="none"/>
          <w:lang w:val="en-US" w:eastAsia="zh-CN"/>
        </w:rPr>
      </w:pPr>
    </w:p>
    <w:p>
      <w:pPr>
        <w:ind w:left="4591" w:leftChars="2166" w:firstLine="3872" w:firstLineChars="1600"/>
        <w:jc w:val="left"/>
        <w:rPr>
          <w:rFonts w:ascii="黑体" w:hAnsi="黑体" w:eastAsia="黑体" w:cs="黑体"/>
          <w:b/>
          <w:kern w:val="44"/>
          <w:sz w:val="36"/>
          <w:szCs w:val="36"/>
        </w:rPr>
      </w:pP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rPr>
        <w:t>日期：   年    月    日</w:t>
      </w:r>
      <w:bookmarkStart w:id="63" w:name="_Toc16205"/>
      <w:bookmarkStart w:id="64" w:name="_Toc478828309"/>
    </w:p>
    <w:p>
      <w:pPr>
        <w:keepNext/>
        <w:keepLines/>
        <w:widowControl/>
        <w:tabs>
          <w:tab w:val="left" w:pos="720"/>
        </w:tabs>
        <w:spacing w:before="120" w:after="120" w:line="360" w:lineRule="auto"/>
        <w:jc w:val="center"/>
        <w:outlineLvl w:val="0"/>
        <w:rPr>
          <w:rFonts w:ascii="黑体" w:hAnsi="黑体" w:eastAsia="黑体" w:cs="黑体"/>
          <w:b/>
          <w:kern w:val="44"/>
          <w:sz w:val="36"/>
          <w:szCs w:val="36"/>
        </w:rPr>
      </w:pPr>
    </w:p>
    <w:p>
      <w:pPr>
        <w:keepNext/>
        <w:keepLines/>
        <w:widowControl/>
        <w:tabs>
          <w:tab w:val="left" w:pos="720"/>
        </w:tabs>
        <w:spacing w:before="120" w:after="120" w:line="360" w:lineRule="auto"/>
        <w:jc w:val="both"/>
        <w:outlineLvl w:val="0"/>
        <w:rPr>
          <w:rFonts w:ascii="黑体" w:hAnsi="黑体" w:eastAsia="黑体" w:cs="黑体"/>
          <w:b/>
          <w:kern w:val="44"/>
          <w:sz w:val="36"/>
          <w:szCs w:val="36"/>
        </w:rPr>
      </w:pPr>
    </w:p>
    <w:p>
      <w:pPr>
        <w:keepNext/>
        <w:keepLines/>
        <w:widowControl/>
        <w:tabs>
          <w:tab w:val="left" w:pos="720"/>
        </w:tabs>
        <w:spacing w:before="120" w:after="120" w:line="360" w:lineRule="auto"/>
        <w:jc w:val="center"/>
        <w:outlineLvl w:val="0"/>
        <w:rPr>
          <w:rFonts w:ascii="黑体" w:hAnsi="黑体" w:eastAsia="黑体" w:cs="黑体"/>
          <w:b/>
          <w:kern w:val="44"/>
          <w:sz w:val="36"/>
          <w:szCs w:val="36"/>
        </w:rPr>
      </w:pPr>
    </w:p>
    <w:p>
      <w:pPr>
        <w:keepNext/>
        <w:keepLines/>
        <w:widowControl/>
        <w:tabs>
          <w:tab w:val="left" w:pos="720"/>
        </w:tabs>
        <w:spacing w:before="120" w:after="120" w:line="360" w:lineRule="auto"/>
        <w:jc w:val="center"/>
        <w:outlineLvl w:val="0"/>
        <w:rPr>
          <w:rFonts w:ascii="黑体" w:hAnsi="黑体" w:eastAsia="黑体" w:cs="黑体"/>
          <w:b/>
          <w:kern w:val="44"/>
          <w:sz w:val="36"/>
          <w:szCs w:val="36"/>
        </w:rPr>
      </w:pPr>
    </w:p>
    <w:p>
      <w:pPr>
        <w:keepNext/>
        <w:keepLines/>
        <w:widowControl/>
        <w:tabs>
          <w:tab w:val="left" w:pos="720"/>
        </w:tabs>
        <w:spacing w:before="120" w:after="120" w:line="360" w:lineRule="auto"/>
        <w:jc w:val="center"/>
        <w:outlineLvl w:val="0"/>
        <w:rPr>
          <w:rFonts w:ascii="黑体" w:hAnsi="黑体" w:eastAsia="黑体" w:cs="黑体"/>
          <w:b/>
          <w:kern w:val="44"/>
          <w:sz w:val="36"/>
          <w:szCs w:val="36"/>
        </w:rPr>
      </w:pPr>
    </w:p>
    <w:p>
      <w:pPr>
        <w:keepNext/>
        <w:keepLines/>
        <w:widowControl/>
        <w:tabs>
          <w:tab w:val="left" w:pos="720"/>
        </w:tabs>
        <w:spacing w:before="120" w:after="120" w:line="360" w:lineRule="auto"/>
        <w:jc w:val="center"/>
        <w:outlineLvl w:val="0"/>
        <w:rPr>
          <w:rFonts w:ascii="黑体" w:hAnsi="黑体" w:eastAsia="黑体" w:cs="黑体"/>
          <w:b/>
          <w:kern w:val="44"/>
          <w:sz w:val="36"/>
          <w:szCs w:val="36"/>
        </w:rPr>
      </w:pPr>
    </w:p>
    <w:p>
      <w:pPr>
        <w:pStyle w:val="2"/>
      </w:pPr>
    </w:p>
    <w:p>
      <w:pPr>
        <w:keepNext/>
        <w:keepLines/>
        <w:widowControl/>
        <w:tabs>
          <w:tab w:val="left" w:pos="720"/>
        </w:tabs>
        <w:spacing w:before="120" w:after="120" w:line="360" w:lineRule="auto"/>
        <w:jc w:val="center"/>
        <w:outlineLvl w:val="0"/>
        <w:rPr>
          <w:rFonts w:ascii="黑体" w:hAnsi="黑体" w:eastAsia="黑体" w:cs="黑体"/>
          <w:b/>
          <w:kern w:val="44"/>
          <w:sz w:val="36"/>
          <w:szCs w:val="36"/>
        </w:rPr>
      </w:pPr>
      <w:r>
        <w:rPr>
          <w:rFonts w:ascii="黑体" w:hAnsi="黑体" w:eastAsia="黑体" w:cs="黑体"/>
          <w:b/>
          <w:kern w:val="44"/>
          <w:sz w:val="36"/>
          <w:szCs w:val="36"/>
        </w:rPr>
        <w:t>第</w:t>
      </w:r>
      <w:r>
        <w:rPr>
          <w:rFonts w:hint="eastAsia" w:ascii="黑体" w:hAnsi="黑体" w:eastAsia="黑体" w:cs="黑体"/>
          <w:b/>
          <w:kern w:val="44"/>
          <w:sz w:val="36"/>
          <w:szCs w:val="36"/>
        </w:rPr>
        <w:t>六</w:t>
      </w:r>
      <w:r>
        <w:rPr>
          <w:rFonts w:ascii="黑体" w:hAnsi="黑体" w:eastAsia="黑体" w:cs="黑体"/>
          <w:b/>
          <w:kern w:val="44"/>
          <w:sz w:val="36"/>
          <w:szCs w:val="36"/>
        </w:rPr>
        <w:t>部分</w:t>
      </w:r>
      <w:r>
        <w:rPr>
          <w:rFonts w:hint="eastAsia" w:ascii="黑体" w:hAnsi="黑体" w:eastAsia="黑体" w:cs="黑体"/>
          <w:b/>
          <w:kern w:val="44"/>
          <w:sz w:val="36"/>
          <w:szCs w:val="36"/>
        </w:rPr>
        <w:t xml:space="preserve">  竞争性磋商最后报价书</w:t>
      </w:r>
      <w:bookmarkEnd w:id="63"/>
      <w:bookmarkEnd w:id="64"/>
    </w:p>
    <w:p>
      <w:pPr>
        <w:spacing w:line="500" w:lineRule="exact"/>
        <w:ind w:firstLine="645"/>
        <w:rPr>
          <w:rFonts w:ascii="微软雅黑" w:hAnsi="微软雅黑" w:eastAsia="微软雅黑" w:cs="微软雅黑"/>
          <w:b/>
          <w:bCs/>
          <w:sz w:val="32"/>
          <w:szCs w:val="32"/>
        </w:rPr>
      </w:pPr>
    </w:p>
    <w:p>
      <w:pPr>
        <w:spacing w:line="500" w:lineRule="exact"/>
        <w:ind w:left="2161" w:leftChars="295" w:hanging="1536" w:hangingChars="545"/>
        <w:rPr>
          <w:rFonts w:ascii="微软雅黑" w:hAnsi="微软雅黑" w:eastAsia="微软雅黑" w:cs="微软雅黑"/>
          <w:sz w:val="28"/>
          <w:szCs w:val="28"/>
        </w:rPr>
      </w:pPr>
    </w:p>
    <w:p>
      <w:pPr>
        <w:spacing w:line="500" w:lineRule="exact"/>
        <w:ind w:left="1943" w:leftChars="295" w:hanging="1318" w:hangingChars="545"/>
        <w:rPr>
          <w:rFonts w:hint="eastAsia" w:ascii="宋体" w:hAnsi="宋体" w:eastAsia="宋体" w:cs="宋体"/>
          <w:sz w:val="24"/>
          <w:szCs w:val="24"/>
        </w:rPr>
      </w:pPr>
      <w:r>
        <w:rPr>
          <w:rFonts w:hint="eastAsia" w:ascii="宋体" w:hAnsi="宋体" w:eastAsia="宋体" w:cs="宋体"/>
          <w:sz w:val="24"/>
          <w:szCs w:val="24"/>
        </w:rPr>
        <w:t>项目明称：XXXX 项目</w:t>
      </w:r>
    </w:p>
    <w:p>
      <w:pPr>
        <w:spacing w:line="500" w:lineRule="exact"/>
        <w:ind w:left="1943" w:leftChars="295" w:hanging="1318" w:hangingChars="545"/>
        <w:rPr>
          <w:rFonts w:hint="eastAsia" w:ascii="宋体" w:hAnsi="宋体" w:eastAsia="宋体" w:cs="宋体"/>
          <w:sz w:val="24"/>
          <w:szCs w:val="24"/>
        </w:rPr>
      </w:pPr>
    </w:p>
    <w:p>
      <w:pPr>
        <w:spacing w:line="500" w:lineRule="exact"/>
        <w:ind w:left="1943" w:leftChars="295" w:hanging="1318" w:hangingChars="545"/>
        <w:rPr>
          <w:rFonts w:hint="eastAsia" w:ascii="宋体" w:hAnsi="宋体" w:eastAsia="宋体" w:cs="宋体"/>
          <w:sz w:val="24"/>
          <w:szCs w:val="24"/>
        </w:rPr>
      </w:pPr>
      <w:r>
        <w:rPr>
          <w:rFonts w:hint="eastAsia" w:ascii="宋体" w:hAnsi="宋体" w:eastAsia="宋体" w:cs="宋体"/>
          <w:sz w:val="24"/>
          <w:szCs w:val="24"/>
        </w:rPr>
        <w:t>项目编号：（XXXX ）</w:t>
      </w:r>
    </w:p>
    <w:p>
      <w:pPr>
        <w:spacing w:line="500" w:lineRule="exact"/>
        <w:ind w:firstLine="425"/>
        <w:rPr>
          <w:rFonts w:hint="eastAsia" w:ascii="宋体" w:hAnsi="宋体" w:eastAsia="宋体" w:cs="宋体"/>
          <w:sz w:val="24"/>
          <w:szCs w:val="24"/>
        </w:rPr>
      </w:pPr>
    </w:p>
    <w:p>
      <w:pPr>
        <w:spacing w:line="500" w:lineRule="exact"/>
        <w:ind w:firstLine="425"/>
        <w:rPr>
          <w:rFonts w:hint="eastAsia" w:ascii="宋体" w:hAnsi="宋体" w:eastAsia="宋体" w:cs="宋体"/>
          <w:sz w:val="24"/>
          <w:szCs w:val="24"/>
        </w:rPr>
      </w:pPr>
    </w:p>
    <w:p>
      <w:pPr>
        <w:spacing w:line="500" w:lineRule="exact"/>
        <w:ind w:firstLine="425"/>
        <w:rPr>
          <w:rFonts w:hint="eastAsia" w:ascii="宋体" w:hAnsi="宋体" w:eastAsia="宋体" w:cs="宋体"/>
          <w:sz w:val="24"/>
          <w:szCs w:val="24"/>
        </w:rPr>
      </w:pPr>
    </w:p>
    <w:p>
      <w:pPr>
        <w:spacing w:line="500" w:lineRule="exact"/>
        <w:ind w:firstLine="425"/>
        <w:rPr>
          <w:rFonts w:hint="eastAsia" w:ascii="宋体" w:hAnsi="宋体" w:eastAsia="宋体" w:cs="宋体"/>
          <w:sz w:val="24"/>
          <w:szCs w:val="24"/>
        </w:rPr>
      </w:pPr>
    </w:p>
    <w:p>
      <w:pPr>
        <w:spacing w:line="500" w:lineRule="exact"/>
        <w:ind w:firstLine="3025" w:firstLineChars="1250"/>
        <w:rPr>
          <w:rFonts w:hint="eastAsia" w:ascii="宋体" w:hAnsi="宋体" w:eastAsia="宋体" w:cs="宋体"/>
          <w:sz w:val="24"/>
          <w:szCs w:val="24"/>
        </w:rPr>
      </w:pPr>
      <w:r>
        <w:rPr>
          <w:rFonts w:hint="eastAsia" w:ascii="宋体" w:hAnsi="宋体" w:eastAsia="宋体" w:cs="宋体"/>
          <w:sz w:val="24"/>
          <w:szCs w:val="24"/>
        </w:rPr>
        <w:t xml:space="preserve">供应商全称：                      </w:t>
      </w:r>
    </w:p>
    <w:p>
      <w:pPr>
        <w:spacing w:line="500" w:lineRule="exact"/>
        <w:ind w:firstLine="3025" w:firstLineChars="1250"/>
        <w:rPr>
          <w:rFonts w:hint="eastAsia" w:ascii="宋体" w:hAnsi="宋体" w:eastAsia="宋体" w:cs="宋体"/>
          <w:sz w:val="24"/>
          <w:szCs w:val="24"/>
        </w:rPr>
      </w:pPr>
    </w:p>
    <w:p>
      <w:pPr>
        <w:spacing w:line="500" w:lineRule="exact"/>
        <w:ind w:firstLine="3025" w:firstLineChars="1250"/>
        <w:rPr>
          <w:rFonts w:hint="eastAsia" w:ascii="宋体" w:hAnsi="宋体" w:eastAsia="宋体" w:cs="宋体"/>
          <w:sz w:val="24"/>
          <w:szCs w:val="24"/>
        </w:rPr>
      </w:pPr>
    </w:p>
    <w:p>
      <w:pPr>
        <w:spacing w:line="500" w:lineRule="exact"/>
        <w:ind w:firstLine="3025" w:firstLineChars="1250"/>
        <w:rPr>
          <w:rFonts w:hint="eastAsia" w:ascii="宋体" w:hAnsi="宋体" w:eastAsia="宋体" w:cs="宋体"/>
          <w:sz w:val="24"/>
          <w:szCs w:val="24"/>
        </w:rPr>
      </w:pPr>
    </w:p>
    <w:p>
      <w:pPr>
        <w:spacing w:line="500" w:lineRule="exact"/>
        <w:ind w:firstLine="3025" w:firstLineChars="1250"/>
        <w:rPr>
          <w:rFonts w:hint="eastAsia" w:ascii="宋体" w:hAnsi="宋体" w:eastAsia="宋体" w:cs="宋体"/>
          <w:sz w:val="24"/>
          <w:szCs w:val="24"/>
        </w:rPr>
      </w:pPr>
    </w:p>
    <w:p>
      <w:pPr>
        <w:spacing w:line="500" w:lineRule="exact"/>
        <w:ind w:firstLine="3025" w:firstLineChars="1250"/>
        <w:rPr>
          <w:rFonts w:hint="eastAsia" w:ascii="宋体" w:hAnsi="宋体" w:eastAsia="宋体" w:cs="宋体"/>
          <w:sz w:val="24"/>
          <w:szCs w:val="24"/>
        </w:rPr>
      </w:pPr>
      <w:r>
        <w:rPr>
          <w:rFonts w:hint="eastAsia" w:ascii="宋体" w:hAnsi="宋体" w:eastAsia="宋体" w:cs="宋体"/>
          <w:sz w:val="24"/>
          <w:szCs w:val="24"/>
        </w:rPr>
        <w:t xml:space="preserve">法定代表人或授权代表签字：               </w:t>
      </w:r>
    </w:p>
    <w:p>
      <w:pPr>
        <w:spacing w:line="500" w:lineRule="exact"/>
        <w:rPr>
          <w:rFonts w:hint="eastAsia" w:ascii="宋体" w:hAnsi="宋体" w:eastAsia="宋体" w:cs="宋体"/>
          <w:sz w:val="24"/>
          <w:szCs w:val="24"/>
        </w:rPr>
      </w:pPr>
    </w:p>
    <w:p>
      <w:pPr>
        <w:spacing w:line="500" w:lineRule="exact"/>
        <w:ind w:firstLine="426"/>
        <w:jc w:val="center"/>
        <w:rPr>
          <w:rFonts w:ascii="微软雅黑" w:hAnsi="微软雅黑" w:eastAsia="微软雅黑" w:cs="微软雅黑"/>
          <w:b/>
          <w:bCs/>
          <w:kern w:val="0"/>
          <w:sz w:val="44"/>
          <w:szCs w:val="44"/>
        </w:rPr>
      </w:pPr>
      <w:r>
        <w:rPr>
          <w:rFonts w:hint="eastAsia" w:ascii="宋体" w:hAnsi="宋体" w:eastAsia="宋体" w:cs="宋体"/>
          <w:b/>
          <w:bCs/>
          <w:sz w:val="24"/>
          <w:szCs w:val="24"/>
        </w:rPr>
        <w:t xml:space="preserve">      </w:t>
      </w:r>
      <w:r>
        <w:rPr>
          <w:rFonts w:hint="eastAsia" w:ascii="宋体" w:hAnsi="宋体" w:eastAsia="宋体" w:cs="宋体"/>
          <w:b/>
          <w:bCs/>
          <w:sz w:val="24"/>
          <w:szCs w:val="24"/>
          <w:lang w:val="en-US" w:eastAsia="zh-CN"/>
        </w:rPr>
        <w:t xml:space="preserve">                                            </w:t>
      </w:r>
      <w:r>
        <w:rPr>
          <w:rFonts w:hint="eastAsia" w:ascii="宋体" w:hAnsi="宋体" w:eastAsia="宋体" w:cs="宋体"/>
          <w:sz w:val="24"/>
          <w:szCs w:val="24"/>
          <w:lang w:eastAsia="zh-CN"/>
        </w:rPr>
        <w:t>20</w:t>
      </w:r>
      <w:r>
        <w:rPr>
          <w:rFonts w:hint="eastAsia" w:ascii="宋体" w:hAnsi="宋体" w:eastAsia="宋体" w:cs="宋体"/>
          <w:sz w:val="24"/>
          <w:szCs w:val="24"/>
          <w:lang w:val="en-US" w:eastAsia="zh-CN"/>
        </w:rPr>
        <w:t>20</w:t>
      </w:r>
      <w:r>
        <w:rPr>
          <w:rFonts w:hint="eastAsia" w:ascii="宋体" w:hAnsi="宋体" w:eastAsia="宋体" w:cs="宋体"/>
          <w:sz w:val="24"/>
          <w:szCs w:val="24"/>
        </w:rPr>
        <w:t xml:space="preserve"> 年   月    日</w:t>
      </w:r>
      <w:r>
        <w:rPr>
          <w:szCs w:val="36"/>
        </w:rPr>
        <w:br w:type="page"/>
      </w:r>
      <w:r>
        <w:rPr>
          <w:rFonts w:hint="eastAsia" w:ascii="黑体" w:hAnsi="黑体" w:eastAsia="黑体"/>
          <w:b/>
          <w:bCs/>
          <w:kern w:val="0"/>
          <w:sz w:val="44"/>
          <w:szCs w:val="44"/>
        </w:rPr>
        <w:t>竞争性磋商最后报价</w:t>
      </w:r>
    </w:p>
    <w:p>
      <w:pPr>
        <w:spacing w:line="500" w:lineRule="exact"/>
        <w:ind w:firstLine="725"/>
        <w:rPr>
          <w:rFonts w:ascii="微软雅黑" w:hAnsi="微软雅黑" w:eastAsia="微软雅黑" w:cs="微软雅黑"/>
          <w:b/>
          <w:bCs/>
          <w:kern w:val="0"/>
          <w:sz w:val="24"/>
          <w:szCs w:val="24"/>
        </w:rPr>
      </w:pPr>
    </w:p>
    <w:p>
      <w:pPr>
        <w:spacing w:line="500" w:lineRule="exact"/>
        <w:ind w:firstLine="425"/>
        <w:rPr>
          <w:rFonts w:ascii="宋体" w:hAnsi="宋体" w:cs="微软雅黑"/>
          <w:kern w:val="0"/>
          <w:sz w:val="24"/>
          <w:szCs w:val="24"/>
        </w:rPr>
      </w:pPr>
      <w:r>
        <w:rPr>
          <w:rFonts w:hint="eastAsia" w:ascii="宋体" w:hAnsi="宋体" w:cs="微软雅黑"/>
          <w:kern w:val="0"/>
          <w:sz w:val="24"/>
          <w:szCs w:val="24"/>
          <w:lang w:eastAsia="zh-CN"/>
        </w:rPr>
        <w:t xml:space="preserve">正信伟业工程咨询管理有限公司 </w:t>
      </w:r>
      <w:r>
        <w:rPr>
          <w:rFonts w:hint="eastAsia" w:ascii="宋体" w:hAnsi="宋体" w:cs="微软雅黑"/>
          <w:kern w:val="0"/>
          <w:sz w:val="24"/>
          <w:szCs w:val="24"/>
        </w:rPr>
        <w:t>：</w:t>
      </w:r>
    </w:p>
    <w:p>
      <w:pPr>
        <w:spacing w:line="500" w:lineRule="exact"/>
        <w:ind w:firstLine="605" w:firstLineChars="250"/>
        <w:rPr>
          <w:rFonts w:ascii="宋体" w:hAnsi="宋体" w:cs="微软雅黑"/>
          <w:kern w:val="0"/>
          <w:sz w:val="24"/>
          <w:szCs w:val="24"/>
        </w:rPr>
      </w:pPr>
    </w:p>
    <w:p>
      <w:pPr>
        <w:spacing w:line="500" w:lineRule="exact"/>
        <w:ind w:firstLine="605" w:firstLineChars="250"/>
        <w:rPr>
          <w:rFonts w:ascii="宋体" w:hAnsi="宋体" w:cs="微软雅黑"/>
          <w:kern w:val="0"/>
          <w:sz w:val="24"/>
          <w:szCs w:val="24"/>
        </w:rPr>
      </w:pPr>
      <w:r>
        <w:rPr>
          <w:rFonts w:hint="eastAsia" w:ascii="宋体" w:hAnsi="宋体" w:cs="微软雅黑"/>
          <w:kern w:val="0"/>
          <w:sz w:val="24"/>
          <w:szCs w:val="24"/>
          <w:u w:val="single"/>
        </w:rPr>
        <w:t xml:space="preserve">                                 （供应商全称）</w:t>
      </w:r>
      <w:r>
        <w:rPr>
          <w:rFonts w:hint="eastAsia" w:ascii="宋体" w:hAnsi="宋体" w:cs="微软雅黑"/>
          <w:kern w:val="0"/>
          <w:sz w:val="24"/>
          <w:szCs w:val="24"/>
        </w:rPr>
        <w:t xml:space="preserve">授权  </w:t>
      </w:r>
      <w:r>
        <w:rPr>
          <w:rFonts w:hint="eastAsia" w:ascii="宋体" w:hAnsi="宋体" w:cs="微软雅黑"/>
          <w:kern w:val="0"/>
          <w:sz w:val="24"/>
          <w:szCs w:val="24"/>
          <w:u w:val="single"/>
        </w:rPr>
        <w:t xml:space="preserve">              （授权代表姓名）                                 （职务、职称）</w:t>
      </w:r>
      <w:r>
        <w:rPr>
          <w:rFonts w:hint="eastAsia" w:ascii="宋体" w:hAnsi="宋体" w:cs="微软雅黑"/>
          <w:kern w:val="0"/>
          <w:sz w:val="24"/>
          <w:szCs w:val="24"/>
        </w:rPr>
        <w:t>为授权代表，参加贵方组织的</w:t>
      </w:r>
      <w:r>
        <w:rPr>
          <w:rFonts w:hint="eastAsia" w:ascii="宋体" w:hAnsi="宋体" w:cs="微软雅黑"/>
          <w:kern w:val="0"/>
          <w:sz w:val="24"/>
          <w:szCs w:val="24"/>
          <w:u w:val="single"/>
        </w:rPr>
        <w:t>（XXXX 项目   包、采购编号XXXX )</w:t>
      </w:r>
      <w:r>
        <w:rPr>
          <w:rFonts w:hint="eastAsia" w:ascii="宋体" w:hAnsi="宋体" w:cs="微软雅黑"/>
          <w:kern w:val="0"/>
          <w:sz w:val="24"/>
          <w:szCs w:val="24"/>
        </w:rPr>
        <w:t>竞争性磋商的有关活动，并对该项目进行最后报价。</w:t>
      </w:r>
    </w:p>
    <w:p>
      <w:pPr>
        <w:spacing w:line="500" w:lineRule="exact"/>
        <w:ind w:firstLine="363" w:firstLineChars="150"/>
        <w:rPr>
          <w:rFonts w:ascii="宋体" w:hAnsi="宋体" w:cs="微软雅黑"/>
          <w:kern w:val="0"/>
          <w:sz w:val="24"/>
          <w:szCs w:val="24"/>
        </w:rPr>
      </w:pPr>
      <w:r>
        <w:rPr>
          <w:rFonts w:hint="eastAsia" w:ascii="宋体" w:hAnsi="宋体" w:cs="微软雅黑"/>
          <w:kern w:val="0"/>
          <w:sz w:val="24"/>
          <w:szCs w:val="24"/>
        </w:rPr>
        <w:t>1、提供最后报价书正本1份、副本2份；</w:t>
      </w:r>
    </w:p>
    <w:p>
      <w:pPr>
        <w:spacing w:line="500" w:lineRule="exact"/>
        <w:ind w:firstLine="363" w:firstLineChars="150"/>
        <w:rPr>
          <w:rFonts w:ascii="宋体" w:hAnsi="宋体" w:cs="微软雅黑"/>
          <w:kern w:val="0"/>
          <w:sz w:val="24"/>
          <w:szCs w:val="24"/>
        </w:rPr>
      </w:pPr>
      <w:r>
        <w:rPr>
          <w:rFonts w:hint="eastAsia" w:ascii="宋体" w:hAnsi="宋体" w:cs="微软雅黑"/>
          <w:kern w:val="0"/>
          <w:sz w:val="24"/>
          <w:szCs w:val="24"/>
        </w:rPr>
        <w:t>2、最后报价：</w:t>
      </w:r>
      <w:r>
        <w:rPr>
          <w:rFonts w:hint="eastAsia" w:ascii="宋体" w:hAnsi="宋体" w:cs="微软雅黑"/>
          <w:kern w:val="0"/>
          <w:sz w:val="24"/>
          <w:szCs w:val="24"/>
          <w:u w:val="single"/>
        </w:rPr>
        <w:t>（小写）               元人民币</w:t>
      </w:r>
      <w:r>
        <w:rPr>
          <w:rFonts w:hint="eastAsia" w:ascii="宋体" w:hAnsi="宋体" w:cs="微软雅黑"/>
          <w:kern w:val="0"/>
          <w:sz w:val="24"/>
          <w:szCs w:val="24"/>
        </w:rPr>
        <w:t>。</w:t>
      </w:r>
    </w:p>
    <w:p>
      <w:pPr>
        <w:spacing w:line="500" w:lineRule="exact"/>
        <w:ind w:firstLine="363" w:firstLineChars="150"/>
        <w:rPr>
          <w:rFonts w:ascii="宋体" w:hAnsi="宋体" w:cs="微软雅黑"/>
          <w:kern w:val="0"/>
          <w:sz w:val="24"/>
          <w:szCs w:val="24"/>
        </w:rPr>
      </w:pPr>
      <w:r>
        <w:rPr>
          <w:rFonts w:hint="eastAsia" w:ascii="宋体" w:hAnsi="宋体" w:cs="微软雅黑"/>
          <w:kern w:val="0"/>
          <w:sz w:val="24"/>
          <w:szCs w:val="24"/>
        </w:rPr>
        <w:t xml:space="preserve">             </w:t>
      </w:r>
      <w:r>
        <w:rPr>
          <w:rFonts w:hint="eastAsia" w:ascii="宋体" w:hAnsi="宋体" w:cs="微软雅黑"/>
          <w:kern w:val="0"/>
          <w:sz w:val="24"/>
          <w:szCs w:val="24"/>
          <w:u w:val="single"/>
        </w:rPr>
        <w:t>（大写）               元人民币</w:t>
      </w:r>
      <w:r>
        <w:rPr>
          <w:rFonts w:hint="eastAsia" w:ascii="宋体" w:hAnsi="宋体" w:cs="微软雅黑"/>
          <w:kern w:val="0"/>
          <w:sz w:val="24"/>
          <w:szCs w:val="24"/>
        </w:rPr>
        <w:t>。</w:t>
      </w:r>
    </w:p>
    <w:p>
      <w:pPr>
        <w:spacing w:line="500" w:lineRule="exact"/>
        <w:ind w:firstLine="363" w:firstLineChars="150"/>
        <w:rPr>
          <w:rFonts w:ascii="宋体" w:hAnsi="宋体" w:cs="微软雅黑"/>
          <w:kern w:val="0"/>
          <w:sz w:val="24"/>
          <w:szCs w:val="24"/>
        </w:rPr>
      </w:pPr>
      <w:r>
        <w:rPr>
          <w:rFonts w:hint="eastAsia" w:ascii="宋体" w:hAnsi="宋体" w:cs="微软雅黑"/>
          <w:kern w:val="0"/>
          <w:sz w:val="24"/>
          <w:szCs w:val="24"/>
        </w:rPr>
        <w:t>3、交货期：                                 。</w:t>
      </w:r>
    </w:p>
    <w:p>
      <w:pPr>
        <w:spacing w:line="500" w:lineRule="exact"/>
        <w:ind w:firstLine="363" w:firstLineChars="150"/>
        <w:rPr>
          <w:rFonts w:ascii="宋体" w:hAnsi="宋体" w:cs="微软雅黑"/>
          <w:kern w:val="0"/>
          <w:sz w:val="24"/>
          <w:szCs w:val="24"/>
        </w:rPr>
      </w:pPr>
      <w:r>
        <w:rPr>
          <w:rFonts w:hint="eastAsia" w:ascii="宋体" w:hAnsi="宋体" w:cs="微软雅黑"/>
          <w:kern w:val="0"/>
          <w:sz w:val="24"/>
          <w:szCs w:val="24"/>
        </w:rPr>
        <w:t>4、保证遵守竞争性磋商文件规定；</w:t>
      </w:r>
    </w:p>
    <w:p>
      <w:pPr>
        <w:pStyle w:val="9"/>
        <w:spacing w:line="500" w:lineRule="exact"/>
        <w:ind w:firstLine="363" w:firstLineChars="150"/>
        <w:rPr>
          <w:rFonts w:ascii="宋体" w:hAnsi="宋体" w:eastAsia="宋体" w:cs="微软雅黑"/>
          <w:sz w:val="24"/>
          <w:szCs w:val="24"/>
        </w:rPr>
      </w:pPr>
      <w:r>
        <w:rPr>
          <w:rFonts w:hint="eastAsia" w:ascii="宋体" w:hAnsi="宋体" w:eastAsia="宋体" w:cs="微软雅黑"/>
          <w:sz w:val="24"/>
          <w:szCs w:val="24"/>
        </w:rPr>
        <w:t>5、保证严格执行甲乙双方所签订的《政府合同》，并承担《政府合同》规定的责任义务；</w:t>
      </w:r>
    </w:p>
    <w:p>
      <w:pPr>
        <w:pStyle w:val="11"/>
        <w:spacing w:line="500" w:lineRule="exact"/>
        <w:ind w:left="0" w:firstLine="363" w:firstLineChars="150"/>
        <w:rPr>
          <w:rFonts w:ascii="宋体" w:hAnsi="宋体" w:eastAsia="宋体" w:cs="微软雅黑"/>
          <w:sz w:val="24"/>
          <w:szCs w:val="24"/>
        </w:rPr>
      </w:pPr>
      <w:r>
        <w:rPr>
          <w:rFonts w:hint="eastAsia" w:ascii="宋体" w:hAnsi="宋体" w:eastAsia="宋体" w:cs="微软雅黑"/>
          <w:sz w:val="24"/>
          <w:szCs w:val="24"/>
        </w:rPr>
        <w:t>6、愿意向贵方提供任何与该项活动有关的数据、情况和技术资料。</w:t>
      </w:r>
    </w:p>
    <w:p>
      <w:pPr>
        <w:spacing w:line="500" w:lineRule="exact"/>
        <w:ind w:firstLine="726" w:firstLineChars="300"/>
        <w:rPr>
          <w:rFonts w:ascii="宋体" w:hAnsi="宋体" w:cs="微软雅黑"/>
          <w:kern w:val="0"/>
          <w:sz w:val="24"/>
          <w:szCs w:val="24"/>
        </w:rPr>
      </w:pPr>
    </w:p>
    <w:p>
      <w:pPr>
        <w:spacing w:line="500" w:lineRule="exact"/>
        <w:ind w:firstLine="726" w:firstLineChars="300"/>
        <w:rPr>
          <w:rFonts w:ascii="宋体" w:hAnsi="宋体" w:cs="微软雅黑"/>
          <w:kern w:val="0"/>
          <w:sz w:val="24"/>
          <w:szCs w:val="24"/>
        </w:rPr>
      </w:pPr>
      <w:r>
        <w:rPr>
          <w:rFonts w:hint="eastAsia" w:ascii="宋体" w:hAnsi="宋体" w:cs="微软雅黑"/>
          <w:kern w:val="0"/>
          <w:sz w:val="24"/>
          <w:szCs w:val="24"/>
        </w:rPr>
        <w:t>附件1：报价明细</w:t>
      </w:r>
    </w:p>
    <w:p>
      <w:pPr>
        <w:spacing w:line="500" w:lineRule="exact"/>
        <w:ind w:firstLine="425"/>
        <w:rPr>
          <w:rFonts w:ascii="宋体" w:hAnsi="宋体" w:cs="微软雅黑"/>
          <w:kern w:val="0"/>
          <w:sz w:val="24"/>
          <w:szCs w:val="24"/>
        </w:rPr>
      </w:pPr>
    </w:p>
    <w:p>
      <w:pPr>
        <w:spacing w:line="500" w:lineRule="exact"/>
        <w:ind w:firstLine="726" w:firstLineChars="300"/>
        <w:rPr>
          <w:rFonts w:ascii="宋体" w:hAnsi="宋体" w:cs="微软雅黑"/>
          <w:kern w:val="0"/>
          <w:sz w:val="24"/>
          <w:szCs w:val="24"/>
        </w:rPr>
      </w:pPr>
      <w:r>
        <w:rPr>
          <w:rFonts w:hint="eastAsia" w:ascii="宋体" w:hAnsi="宋体" w:cs="微软雅黑"/>
          <w:kern w:val="0"/>
          <w:sz w:val="24"/>
          <w:szCs w:val="24"/>
        </w:rPr>
        <w:t>附件2：最后报价调整说明</w:t>
      </w:r>
    </w:p>
    <w:p>
      <w:pPr>
        <w:spacing w:line="500" w:lineRule="exact"/>
        <w:ind w:firstLine="423" w:firstLineChars="175"/>
        <w:rPr>
          <w:rFonts w:ascii="宋体" w:hAnsi="宋体" w:cs="微软雅黑"/>
          <w:kern w:val="0"/>
          <w:sz w:val="24"/>
          <w:szCs w:val="24"/>
        </w:rPr>
      </w:pPr>
    </w:p>
    <w:p>
      <w:pPr>
        <w:spacing w:line="500" w:lineRule="exact"/>
        <w:ind w:firstLine="423" w:firstLineChars="175"/>
        <w:rPr>
          <w:rFonts w:ascii="宋体" w:hAnsi="宋体" w:cs="微软雅黑"/>
          <w:kern w:val="0"/>
          <w:sz w:val="24"/>
          <w:szCs w:val="24"/>
        </w:rPr>
      </w:pPr>
    </w:p>
    <w:p>
      <w:pPr>
        <w:spacing w:line="500" w:lineRule="exact"/>
        <w:ind w:firstLine="2359" w:firstLineChars="975"/>
        <w:rPr>
          <w:rFonts w:ascii="宋体" w:hAnsi="宋体" w:cs="微软雅黑"/>
          <w:kern w:val="0"/>
          <w:sz w:val="24"/>
          <w:szCs w:val="24"/>
        </w:rPr>
      </w:pPr>
      <w:r>
        <w:rPr>
          <w:rFonts w:hint="eastAsia" w:ascii="宋体" w:hAnsi="宋体" w:cs="微软雅黑"/>
          <w:kern w:val="0"/>
          <w:sz w:val="24"/>
          <w:szCs w:val="24"/>
        </w:rPr>
        <w:t xml:space="preserve">法定代表人或授权代表（签字）：                   </w:t>
      </w:r>
    </w:p>
    <w:p>
      <w:pPr>
        <w:spacing w:line="500" w:lineRule="exact"/>
        <w:ind w:firstLine="2359" w:firstLineChars="975"/>
        <w:rPr>
          <w:rFonts w:ascii="宋体" w:hAnsi="宋体" w:cs="微软雅黑"/>
          <w:kern w:val="0"/>
          <w:sz w:val="24"/>
          <w:szCs w:val="24"/>
        </w:rPr>
      </w:pPr>
    </w:p>
    <w:p>
      <w:pPr>
        <w:spacing w:line="500" w:lineRule="exact"/>
        <w:ind w:firstLine="2359" w:firstLineChars="975"/>
        <w:rPr>
          <w:rFonts w:ascii="宋体" w:hAnsi="宋体" w:cs="微软雅黑"/>
          <w:kern w:val="0"/>
          <w:sz w:val="24"/>
          <w:szCs w:val="24"/>
        </w:rPr>
      </w:pPr>
    </w:p>
    <w:p>
      <w:pPr>
        <w:spacing w:line="500" w:lineRule="exact"/>
        <w:ind w:firstLine="2359" w:firstLineChars="975"/>
        <w:rPr>
          <w:rFonts w:ascii="宋体" w:hAnsi="宋体" w:cs="微软雅黑"/>
          <w:kern w:val="0"/>
          <w:szCs w:val="21"/>
        </w:rPr>
      </w:pPr>
      <w:r>
        <w:rPr>
          <w:rFonts w:hint="eastAsia" w:ascii="宋体" w:hAnsi="宋体" w:cs="微软雅黑"/>
          <w:kern w:val="0"/>
          <w:sz w:val="24"/>
          <w:szCs w:val="24"/>
        </w:rPr>
        <w:t xml:space="preserve">日    期：                 </w:t>
      </w:r>
      <w:r>
        <w:rPr>
          <w:rFonts w:hint="eastAsia" w:ascii="宋体" w:hAnsi="宋体" w:cs="微软雅黑"/>
          <w:kern w:val="0"/>
          <w:szCs w:val="21"/>
        </w:rPr>
        <w:t xml:space="preserve">                 </w:t>
      </w:r>
    </w:p>
    <w:p>
      <w:pPr>
        <w:spacing w:line="500" w:lineRule="exact"/>
        <w:ind w:firstLine="885"/>
        <w:rPr>
          <w:rFonts w:ascii="微软雅黑" w:hAnsi="微软雅黑" w:eastAsia="微软雅黑" w:cs="微软雅黑"/>
          <w:sz w:val="44"/>
          <w:szCs w:val="44"/>
        </w:rPr>
      </w:pPr>
    </w:p>
    <w:p>
      <w:pPr>
        <w:spacing w:line="500" w:lineRule="exact"/>
        <w:ind w:firstLine="565"/>
        <w:rPr>
          <w:rFonts w:ascii="微软雅黑" w:hAnsi="微软雅黑" w:eastAsia="微软雅黑" w:cs="微软雅黑"/>
          <w:sz w:val="28"/>
          <w:szCs w:val="28"/>
        </w:rPr>
      </w:pPr>
      <w:r>
        <w:rPr>
          <w:rFonts w:hint="eastAsia" w:ascii="微软雅黑" w:hAnsi="微软雅黑" w:eastAsia="微软雅黑" w:cs="微软雅黑"/>
          <w:sz w:val="28"/>
          <w:szCs w:val="28"/>
        </w:rPr>
        <w:br w:type="page"/>
      </w:r>
    </w:p>
    <w:p>
      <w:pPr>
        <w:spacing w:line="500" w:lineRule="exact"/>
        <w:jc w:val="center"/>
        <w:outlineLvl w:val="2"/>
        <w:rPr>
          <w:rFonts w:ascii="黑体" w:hAnsi="黑体" w:eastAsia="黑体"/>
          <w:b/>
          <w:bCs/>
          <w:kern w:val="0"/>
          <w:sz w:val="36"/>
          <w:szCs w:val="36"/>
        </w:rPr>
      </w:pPr>
      <w:bookmarkStart w:id="65" w:name="_Toc478828310"/>
      <w:bookmarkStart w:id="66" w:name="_Toc13051"/>
      <w:r>
        <w:rPr>
          <w:rFonts w:hint="eastAsia" w:ascii="黑体" w:hAnsi="黑体" w:eastAsia="黑体"/>
          <w:b/>
          <w:bCs/>
          <w:kern w:val="0"/>
          <w:sz w:val="36"/>
          <w:szCs w:val="36"/>
        </w:rPr>
        <w:t>最后报价明细（附件1）</w:t>
      </w:r>
      <w:bookmarkEnd w:id="65"/>
      <w:bookmarkEnd w:id="66"/>
    </w:p>
    <w:p>
      <w:pPr>
        <w:spacing w:line="500" w:lineRule="exact"/>
        <w:rPr>
          <w:rFonts w:ascii="微软雅黑" w:hAnsi="微软雅黑" w:eastAsia="微软雅黑" w:cs="微软雅黑"/>
          <w:sz w:val="28"/>
          <w:szCs w:val="28"/>
        </w:rPr>
      </w:pPr>
      <w:r>
        <w:rPr>
          <w:rFonts w:hint="eastAsia" w:ascii="微软雅黑" w:hAnsi="微软雅黑" w:eastAsia="微软雅黑" w:cs="微软雅黑"/>
          <w:sz w:val="28"/>
          <w:szCs w:val="28"/>
        </w:rPr>
        <w:br w:type="page"/>
      </w:r>
    </w:p>
    <w:p>
      <w:pPr>
        <w:spacing w:line="500" w:lineRule="exact"/>
        <w:jc w:val="center"/>
        <w:outlineLvl w:val="2"/>
        <w:rPr>
          <w:rFonts w:ascii="黑体" w:hAnsi="黑体" w:eastAsia="黑体"/>
          <w:b/>
          <w:bCs/>
          <w:kern w:val="0"/>
          <w:sz w:val="36"/>
          <w:szCs w:val="36"/>
        </w:rPr>
      </w:pPr>
      <w:bookmarkStart w:id="67" w:name="_Toc478828311"/>
      <w:bookmarkStart w:id="68" w:name="_Toc21077"/>
      <w:r>
        <w:rPr>
          <w:rFonts w:hint="eastAsia" w:ascii="黑体" w:hAnsi="黑体" w:eastAsia="黑体"/>
          <w:b/>
          <w:bCs/>
          <w:kern w:val="0"/>
          <w:sz w:val="36"/>
          <w:szCs w:val="36"/>
        </w:rPr>
        <w:t>最后报价调整说明（附件2）</w:t>
      </w:r>
      <w:bookmarkEnd w:id="67"/>
      <w:bookmarkEnd w:id="68"/>
    </w:p>
    <w:p>
      <w:pPr>
        <w:spacing w:line="500" w:lineRule="exact"/>
        <w:outlineLvl w:val="2"/>
        <w:rPr>
          <w:rFonts w:ascii="微软雅黑" w:hAnsi="微软雅黑" w:eastAsia="微软雅黑" w:cs="微软雅黑"/>
          <w:sz w:val="36"/>
          <w:szCs w:val="36"/>
        </w:rPr>
      </w:pPr>
    </w:p>
    <w:p>
      <w:pPr>
        <w:jc w:val="right"/>
        <w:rPr>
          <w:rFonts w:ascii="宋体" w:hAnsi="宋体" w:cs="宋体"/>
          <w:sz w:val="24"/>
          <w:szCs w:val="24"/>
        </w:rPr>
      </w:pPr>
    </w:p>
    <w:p>
      <w:pPr>
        <w:pStyle w:val="2"/>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  </w:t>
      </w:r>
    </w:p>
    <w:sectPr>
      <w:footerReference r:id="rId7" w:type="first"/>
      <w:headerReference r:id="rId5" w:type="default"/>
      <w:footerReference r:id="rId6" w:type="default"/>
      <w:pgSz w:w="11907" w:h="16840"/>
      <w:pgMar w:top="1089" w:right="1797" w:bottom="935" w:left="1402" w:header="851" w:footer="992" w:gutter="0"/>
      <w:pgNumType w:fmt="decimal" w:start="1"/>
      <w:cols w:space="720" w:num="1"/>
      <w:docGrid w:type="linesAndChars" w:linePitch="312" w:charSpace="4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3360" behindDoc="0" locked="0" layoutInCell="1" allowOverlap="1">
              <wp:simplePos x="0" y="0"/>
              <wp:positionH relativeFrom="margin">
                <wp:posOffset>2660650</wp:posOffset>
              </wp:positionH>
              <wp:positionV relativeFrom="paragraph">
                <wp:posOffset>139065</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default" w:eastAsiaTheme="minorEastAsia"/>
                              <w:lang w:val="en-US" w:eastAsia="zh-CN"/>
                            </w:rPr>
                          </w:pPr>
                          <w:r>
                            <w:rPr>
                              <w:rFonts w:hint="eastAsia"/>
                              <w:lang w:val="en-US"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9.5pt;margin-top:10.95pt;height:144pt;width:144pt;mso-position-horizontal-relative:margin;mso-wrap-style:none;z-index:251663360;mso-width-relative:page;mso-height-relative:page;" filled="f" stroked="f" coordsize="21600,21600" o:gfxdata="UEsDBAoAAAAAAIdO4kAAAAAAAAAAAAAAAAAEAAAAZHJzL1BLAwQUAAAACACHTuJAn8mIUdgAAAAK&#10;AQAADwAAAGRycy9kb3ducmV2LnhtbE2PzU7DMBCE70i8g7VI3KidtqIkxKlERTgi0fTQoxsvScA/&#10;ke2m4e1ZTvQ4O6PZb8rtbA2bMMTBOwnZQgBD13o9uE7CoakfnoDFpJxWxjuU8IMRttXtTakK7S/u&#10;A6d96hiVuFgoCX1KY8F5bHu0Ki78iI68Tx+sSiRDx3VQFyq3hi+FeORWDY4+9GrEXY/t9/5sJezq&#10;pgkTxmCO+Favvt5f1vg6S3l/l4lnYAnn9B+GP3xCh4qYTv7sdGRGwjrLaUuSsMxyYBTYiA0dThJW&#10;Is+BVyW/nlD9AlBLAwQUAAAACACHTuJACjsqfhQCAAAVBAAADgAAAGRycy9lMm9Eb2MueG1srVPL&#10;jtMwFN0j8Q+W9zRpR4yqqumozKgIqWJGKoi16zhNJL9ku03KB8AfsGLDnu/qd8yx03TQDCvExr6+&#10;73vu8fymU5IchPON0QUdj3JKhOambPSuoJ8/rd5MKfGB6ZJJo0VBj8LTm8XrV/PWzsTE1EaWwhEk&#10;0X7W2oLWIdhZlnleC8X8yFihYayMUyzg6XZZ6ViL7Epmkzy/zlrjSusMF95De9cb6SLlryrBw31V&#10;eRGILCh6C+l06dzGM1vM2WznmK0bfm6D/UMXijUaRS+p7lhgZO+aF6lUw53xpgojblRmqqrhIs2A&#10;acb5s2k2NbMizQJwvL3A5P9fWv7x8OBIU2J3V5RoprCj04/vp5+/T7++EegAUGv9DH4bC8/QvTMd&#10;nAe9hzLO3VVOxRsTEdgB9fECr+gC4TFoOplOc5g4bMMD+bOncOt8eC+MIlEoqMP+EqzssPahdx1c&#10;YjVtVo2UaYdSk7ag11dv8xRwsSC51KgRh+ibjVLott15sq0pjxjMmZ4b3vJVg+Jr5sMDcyADGgbB&#10;wz2OShoUMWeJktq4r3/TR3/sCFZKWpCroBrsp0R+0Nhd5OEguEHYDoLeq1sDto7xcSxPIgJckINY&#10;OaO+gPXLWAMmpjkqFTQM4m3oCY5fw8VymZz21jW7ug8A8ywLa72xPJaJQHq73AeAmTCOAPWonHED&#10;99KWzv8kkvvPd/J6+s2LR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J/JiFHYAAAACgEAAA8AAAAA&#10;AAAAAQAgAAAAIgAAAGRycy9kb3ducmV2LnhtbFBLAQIUABQAAAAIAIdO4kAKOyp+FAIAABUEAAAO&#10;AAAAAAAAAAEAIAAAACcBAABkcnMvZTJvRG9jLnhtbFBLBQYAAAAABgAGAFkBAACtBQAAAAA=&#10;">
              <v:fill on="f" focussize="0,0"/>
              <v:stroke on="f" weight="0.5pt"/>
              <v:imagedata o:title=""/>
              <o:lock v:ext="edit" aspectratio="f"/>
              <v:textbox inset="0mm,0mm,0mm,0mm" style="mso-fit-shape-to-text:t;">
                <w:txbxContent>
                  <w:p>
                    <w:pPr>
                      <w:pStyle w:val="13"/>
                      <w:rPr>
                        <w:rFonts w:hint="default" w:eastAsiaTheme="minorEastAsia"/>
                        <w:lang w:val="en-US" w:eastAsia="zh-CN"/>
                      </w:rPr>
                    </w:pPr>
                    <w:r>
                      <w:rPr>
                        <w:rFonts w:hint="eastAsia"/>
                        <w:lang w:val="en-US"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val="en-US" w:eastAsia="zh-CN"/>
                      </w:rPr>
                      <w:t xml:space="preserve"> -</w:t>
                    </w:r>
                  </w:p>
                </w:txbxContent>
              </v:textbox>
            </v:shape>
          </w:pict>
        </mc:Fallback>
      </mc:AlternateContent>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lef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RJGosOAgAABwQAAA4AAABkcnMvZTJvRG9jLnhtbK1TzY7TMBC+I/EO&#10;lu80aRGrqGq6KrsqQqrYlQri7DpOE8l/st0m5QHgDThx4c5z9Tn47DRdBJwQF3vsGX8z883nxW2v&#10;JDkK51ujSzqd5JQIzU3V6n1JP7xfvygo8YHpikmjRUlPwtPb5fNni87Oxcw0RlbCEYBoP+9sSZsQ&#10;7DzLPG+EYn5irNBw1sYpFnB0+6xyrAO6ktksz2+yzrjKOsOF97i9H5x0mfDrWvDwUNdeBCJLitpC&#10;Wl1ad3HNlgs23ztmm5ZfymD/UIVirUbSK9Q9C4wcXPsHlGq5M97UYcKNykxdt1ykHtDNNP+tm23D&#10;rEi9gBxvrzT5/wfL3x0fHWmrkmJQmimM6Pz1y/nbj/P3z6SI9HTWzxG1tYgL/WvTY8zjvcdl7Lqv&#10;nYo7+iHwg+jTlVzRB8Ljo2JWFDlcHL7xAPzs6bl1PrwRRpFolNRheolUdtz4MISOITGbNutWyjRB&#10;qUlX0puXr/L04OoBuNTIEZsYio1W6Hf9pbOdqU5ozJlBGd7ydYvkG+bDI3OQAgqGvMMDlloaJDEX&#10;i5LGuE9/u4/xmBC8lHSQVkk1tE+JfKsxuajC0XCjsRsNfVB3Blqd4ttYnkw8cEGOZu2M+gjNr2IO&#10;uJjmyFTSMJp3YZA3/gwXq1UKgtYsCxu9tTxCR/K8XR0CCEy8RlIGJi5cQW1pMpefEeX86zlFPf3f&#10;5U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BEkaiw4CAAAHBAAADgAAAAAAAAABACAAAAAf&#10;AQAAZHJzL2Uyb0RvYy54bWxQSwUGAAAAAAYABgBZAQAAnwUAAAAA&#10;">
              <v:fill on="f" focussize="0,0"/>
              <v:stroke on="f" weight="0.5pt"/>
              <v:imagedata o:title=""/>
              <o:lock v:ext="edit" aspectratio="f"/>
              <v:textbox inset="0mm,0mm,0mm,0mm" style="mso-fit-shape-to-text:t;">
                <w:txbxContent>
                  <w:p>
                    <w:pPr>
                      <w:pStyle w:val="1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right"/>
      <w:rPr>
        <w:rFonts w:hint="eastAsia"/>
      </w:rPr>
    </w:pPr>
    <w:r>
      <w:rPr>
        <w:rFonts w:hint="eastAsia" w:ascii="宋体" w:hAnsi="宋体" w:eastAsia="宋体" w:cs="宋体"/>
        <w:sz w:val="21"/>
        <w:szCs w:val="21"/>
      </w:rPr>
      <w:drawing>
        <wp:anchor distT="0" distB="0" distL="114300" distR="114300" simplePos="0" relativeHeight="251659264" behindDoc="1" locked="0" layoutInCell="1" allowOverlap="1">
          <wp:simplePos x="0" y="0"/>
          <wp:positionH relativeFrom="column">
            <wp:posOffset>19050</wp:posOffset>
          </wp:positionH>
          <wp:positionV relativeFrom="paragraph">
            <wp:posOffset>-100965</wp:posOffset>
          </wp:positionV>
          <wp:extent cx="716280" cy="284480"/>
          <wp:effectExtent l="0" t="0" r="0" b="0"/>
          <wp:wrapNone/>
          <wp:docPr id="11" name="图片 2"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descr="公司LOGO"/>
                  <pic:cNvPicPr>
                    <a:picLocks noChangeAspect="1"/>
                  </pic:cNvPicPr>
                </pic:nvPicPr>
                <pic:blipFill>
                  <a:blip r:embed="rId1"/>
                  <a:stretch>
                    <a:fillRect/>
                  </a:stretch>
                </pic:blipFill>
                <pic:spPr>
                  <a:xfrm>
                    <a:off x="0" y="0"/>
                    <a:ext cx="716280" cy="284480"/>
                  </a:xfrm>
                  <a:prstGeom prst="rect">
                    <a:avLst/>
                  </a:prstGeom>
                  <a:noFill/>
                  <a:ln>
                    <a:noFill/>
                  </a:ln>
                </pic:spPr>
              </pic:pic>
            </a:graphicData>
          </a:graphic>
        </wp:anchor>
      </w:drawing>
    </w:r>
    <w:r>
      <w:rPr>
        <w:rFonts w:hint="eastAsia" w:eastAsia="宋体"/>
        <w:szCs w:val="21"/>
        <w:lang w:eastAsia="zh-CN"/>
      </w:rPr>
      <w:t>哈尔滨工程大学PIV三维流场显示系统采购项目</w:t>
    </w:r>
    <w:r>
      <w:rPr>
        <w:rFonts w:hint="eastAsia" w:eastAsia="宋体" w:cs="宋体"/>
        <w:bCs w:val="0"/>
        <w:sz w:val="21"/>
        <w:szCs w:val="21"/>
        <w:lang w:eastAsia="zh-CN"/>
      </w:rPr>
      <w:t>磋商</w:t>
    </w:r>
    <w:r>
      <w:rPr>
        <w:rFonts w:hint="eastAsia" w:ascii="宋体" w:hAnsi="宋体" w:eastAsia="宋体" w:cs="宋体"/>
        <w:bCs w:val="0"/>
        <w:sz w:val="21"/>
        <w:szCs w:val="21"/>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thickThinMediumGap" w:color="auto" w:sz="18" w:space="1"/>
      </w:pBdr>
      <w:jc w:val="right"/>
      <w:rPr>
        <w:rFonts w:hint="default"/>
        <w:lang w:val="en-US"/>
      </w:rPr>
    </w:pPr>
    <w:r>
      <w:rPr>
        <w:rFonts w:hint="eastAsia" w:ascii="宋体" w:hAnsi="宋体" w:eastAsia="宋体" w:cs="宋体"/>
        <w:b/>
        <w:bCs/>
        <w:color w:val="000000"/>
        <w:kern w:val="0"/>
        <w:sz w:val="21"/>
        <w:szCs w:val="21"/>
        <w:highlight w:val="none"/>
        <w:lang w:eastAsia="zh-CN"/>
      </w:rPr>
      <w:t>哈尔滨工程大学室外体育设施器材购置项目</w:t>
    </w:r>
    <w:r>
      <w:rPr>
        <w:rFonts w:hint="eastAsia" w:ascii="宋体" w:hAnsi="宋体" w:eastAsia="宋体" w:cs="宋体"/>
        <w:b/>
        <w:bCs/>
        <w:sz w:val="21"/>
        <w:szCs w:val="21"/>
      </w:rPr>
      <w:drawing>
        <wp:anchor distT="0" distB="0" distL="114300" distR="114300" simplePos="0" relativeHeight="251663360" behindDoc="1" locked="0" layoutInCell="1" allowOverlap="1">
          <wp:simplePos x="0" y="0"/>
          <wp:positionH relativeFrom="column">
            <wp:posOffset>13335</wp:posOffset>
          </wp:positionH>
          <wp:positionV relativeFrom="paragraph">
            <wp:posOffset>-77470</wp:posOffset>
          </wp:positionV>
          <wp:extent cx="716280" cy="284480"/>
          <wp:effectExtent l="0" t="0" r="7620" b="1270"/>
          <wp:wrapNone/>
          <wp:docPr id="7" name="图片 1" descr="公司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公司LOGO"/>
                  <pic:cNvPicPr>
                    <a:picLocks noChangeAspect="1"/>
                  </pic:cNvPicPr>
                </pic:nvPicPr>
                <pic:blipFill>
                  <a:blip r:embed="rId1"/>
                  <a:stretch>
                    <a:fillRect/>
                  </a:stretch>
                </pic:blipFill>
                <pic:spPr>
                  <a:xfrm>
                    <a:off x="0" y="0"/>
                    <a:ext cx="716280" cy="284480"/>
                  </a:xfrm>
                  <a:prstGeom prst="rect">
                    <a:avLst/>
                  </a:prstGeom>
                  <a:noFill/>
                  <a:ln>
                    <a:noFill/>
                  </a:ln>
                </pic:spPr>
              </pic:pic>
            </a:graphicData>
          </a:graphic>
        </wp:anchor>
      </w:drawing>
    </w:r>
    <w:r>
      <w:rPr>
        <w:rFonts w:hint="eastAsia" w:ascii="宋体" w:hAnsi="宋体" w:eastAsia="宋体" w:cs="宋体"/>
        <w:b/>
        <w:bCs/>
        <w:sz w:val="21"/>
        <w:szCs w:val="21"/>
        <w:lang w:eastAsia="zh-CN"/>
      </w:rPr>
      <w:t>磋商文件</w:t>
    </w:r>
    <w:r>
      <w:rPr>
        <w:rFonts w:hint="eastAsia"/>
        <w:sz w:val="21"/>
        <w:szCs w:val="21"/>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A0893A"/>
    <w:multiLevelType w:val="singleLevel"/>
    <w:tmpl w:val="CEA0893A"/>
    <w:lvl w:ilvl="0" w:tentative="0">
      <w:start w:val="1"/>
      <w:numFmt w:val="decimal"/>
      <w:lvlText w:val="%1."/>
      <w:lvlJc w:val="left"/>
      <w:pPr>
        <w:tabs>
          <w:tab w:val="left" w:pos="312"/>
        </w:tabs>
      </w:pPr>
    </w:lvl>
  </w:abstractNum>
  <w:abstractNum w:abstractNumId="1">
    <w:nsid w:val="DAE522E3"/>
    <w:multiLevelType w:val="singleLevel"/>
    <w:tmpl w:val="DAE522E3"/>
    <w:lvl w:ilvl="0" w:tentative="0">
      <w:start w:val="1"/>
      <w:numFmt w:val="decimal"/>
      <w:suff w:val="nothing"/>
      <w:lvlText w:val="%1）"/>
      <w:lvlJc w:val="left"/>
    </w:lvl>
  </w:abstractNum>
  <w:abstractNum w:abstractNumId="2">
    <w:nsid w:val="489DE34D"/>
    <w:multiLevelType w:val="singleLevel"/>
    <w:tmpl w:val="489DE34D"/>
    <w:lvl w:ilvl="0" w:tentative="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45A"/>
    <w:rsid w:val="00047BE5"/>
    <w:rsid w:val="000832C7"/>
    <w:rsid w:val="000C23D3"/>
    <w:rsid w:val="000F66C4"/>
    <w:rsid w:val="001662A0"/>
    <w:rsid w:val="001D480A"/>
    <w:rsid w:val="00207E30"/>
    <w:rsid w:val="002606A5"/>
    <w:rsid w:val="002775B1"/>
    <w:rsid w:val="002C28EF"/>
    <w:rsid w:val="0032289F"/>
    <w:rsid w:val="003646AC"/>
    <w:rsid w:val="0038745A"/>
    <w:rsid w:val="004139BE"/>
    <w:rsid w:val="00530519"/>
    <w:rsid w:val="00583E08"/>
    <w:rsid w:val="00586DD4"/>
    <w:rsid w:val="005E5EAE"/>
    <w:rsid w:val="00615EB6"/>
    <w:rsid w:val="00646B63"/>
    <w:rsid w:val="006B0047"/>
    <w:rsid w:val="006B3128"/>
    <w:rsid w:val="006C5C72"/>
    <w:rsid w:val="006D1C81"/>
    <w:rsid w:val="00722AB5"/>
    <w:rsid w:val="007B5148"/>
    <w:rsid w:val="007B542E"/>
    <w:rsid w:val="00821181"/>
    <w:rsid w:val="00835FFA"/>
    <w:rsid w:val="008D4008"/>
    <w:rsid w:val="008D6035"/>
    <w:rsid w:val="008D6A31"/>
    <w:rsid w:val="008E0976"/>
    <w:rsid w:val="00916441"/>
    <w:rsid w:val="00916F04"/>
    <w:rsid w:val="009C22AB"/>
    <w:rsid w:val="009C2618"/>
    <w:rsid w:val="009D329E"/>
    <w:rsid w:val="009D5C4D"/>
    <w:rsid w:val="00A07168"/>
    <w:rsid w:val="00A63CCF"/>
    <w:rsid w:val="00AD44A0"/>
    <w:rsid w:val="00B0198F"/>
    <w:rsid w:val="00B24B7B"/>
    <w:rsid w:val="00B65644"/>
    <w:rsid w:val="00B932A2"/>
    <w:rsid w:val="00BA25DE"/>
    <w:rsid w:val="00BC3311"/>
    <w:rsid w:val="00BD2825"/>
    <w:rsid w:val="00C61008"/>
    <w:rsid w:val="00C65E46"/>
    <w:rsid w:val="00C67524"/>
    <w:rsid w:val="00C81A33"/>
    <w:rsid w:val="00CB416B"/>
    <w:rsid w:val="00D1067F"/>
    <w:rsid w:val="00DA6F79"/>
    <w:rsid w:val="00DB4A3C"/>
    <w:rsid w:val="00E02215"/>
    <w:rsid w:val="00E25838"/>
    <w:rsid w:val="00E266D9"/>
    <w:rsid w:val="00F364C3"/>
    <w:rsid w:val="00FF1DD2"/>
    <w:rsid w:val="013F2829"/>
    <w:rsid w:val="01633665"/>
    <w:rsid w:val="017F5A23"/>
    <w:rsid w:val="01A37003"/>
    <w:rsid w:val="01BA694A"/>
    <w:rsid w:val="020743E8"/>
    <w:rsid w:val="02B32979"/>
    <w:rsid w:val="02CF699F"/>
    <w:rsid w:val="03196622"/>
    <w:rsid w:val="03611398"/>
    <w:rsid w:val="039C66CE"/>
    <w:rsid w:val="0445458E"/>
    <w:rsid w:val="04820814"/>
    <w:rsid w:val="04D2432D"/>
    <w:rsid w:val="04D33698"/>
    <w:rsid w:val="04E9560E"/>
    <w:rsid w:val="05343B26"/>
    <w:rsid w:val="05981513"/>
    <w:rsid w:val="05A163F2"/>
    <w:rsid w:val="06EF3759"/>
    <w:rsid w:val="07191C7F"/>
    <w:rsid w:val="07F83D5D"/>
    <w:rsid w:val="07FA2DC3"/>
    <w:rsid w:val="08533476"/>
    <w:rsid w:val="08A53D2E"/>
    <w:rsid w:val="08A87D06"/>
    <w:rsid w:val="08F250B7"/>
    <w:rsid w:val="08F7730A"/>
    <w:rsid w:val="0907309A"/>
    <w:rsid w:val="09E4726C"/>
    <w:rsid w:val="09E94BF0"/>
    <w:rsid w:val="0A5C7CD6"/>
    <w:rsid w:val="0ADA5488"/>
    <w:rsid w:val="0AF23477"/>
    <w:rsid w:val="0B7B53B6"/>
    <w:rsid w:val="0B8A242A"/>
    <w:rsid w:val="0B9C4257"/>
    <w:rsid w:val="0C28014D"/>
    <w:rsid w:val="0C640E15"/>
    <w:rsid w:val="0C706F19"/>
    <w:rsid w:val="0CBA372D"/>
    <w:rsid w:val="0CD3730A"/>
    <w:rsid w:val="0D3C4EE5"/>
    <w:rsid w:val="0D4D0822"/>
    <w:rsid w:val="0D520D96"/>
    <w:rsid w:val="0DAF23CA"/>
    <w:rsid w:val="0DDB1A9E"/>
    <w:rsid w:val="0E496A3B"/>
    <w:rsid w:val="0E8A19E7"/>
    <w:rsid w:val="0EE6237F"/>
    <w:rsid w:val="0EEA2F91"/>
    <w:rsid w:val="0F3D57A3"/>
    <w:rsid w:val="0F5633FA"/>
    <w:rsid w:val="0F6A14FA"/>
    <w:rsid w:val="0FB95500"/>
    <w:rsid w:val="0FD00649"/>
    <w:rsid w:val="0FD65E91"/>
    <w:rsid w:val="0FDA7272"/>
    <w:rsid w:val="100D2156"/>
    <w:rsid w:val="10304DE9"/>
    <w:rsid w:val="10320CB9"/>
    <w:rsid w:val="111E5B44"/>
    <w:rsid w:val="116C1DBE"/>
    <w:rsid w:val="11B81B84"/>
    <w:rsid w:val="11B92834"/>
    <w:rsid w:val="11CE503E"/>
    <w:rsid w:val="12087A3F"/>
    <w:rsid w:val="13145581"/>
    <w:rsid w:val="134E76D6"/>
    <w:rsid w:val="13924B1C"/>
    <w:rsid w:val="139446DD"/>
    <w:rsid w:val="142372AB"/>
    <w:rsid w:val="144207ED"/>
    <w:rsid w:val="149E4E20"/>
    <w:rsid w:val="14CA1D7A"/>
    <w:rsid w:val="1500725F"/>
    <w:rsid w:val="15025E8A"/>
    <w:rsid w:val="15EB2E2C"/>
    <w:rsid w:val="15F80160"/>
    <w:rsid w:val="161A79AF"/>
    <w:rsid w:val="165D5D1C"/>
    <w:rsid w:val="166D5AC6"/>
    <w:rsid w:val="16946800"/>
    <w:rsid w:val="16A04B15"/>
    <w:rsid w:val="170B4381"/>
    <w:rsid w:val="17293E28"/>
    <w:rsid w:val="176F07CA"/>
    <w:rsid w:val="17B30DB3"/>
    <w:rsid w:val="18053486"/>
    <w:rsid w:val="188E6777"/>
    <w:rsid w:val="18CE152A"/>
    <w:rsid w:val="1917143C"/>
    <w:rsid w:val="19214402"/>
    <w:rsid w:val="19970577"/>
    <w:rsid w:val="199A3E19"/>
    <w:rsid w:val="19EE6A55"/>
    <w:rsid w:val="1A01703B"/>
    <w:rsid w:val="1B1C5903"/>
    <w:rsid w:val="1B2C6694"/>
    <w:rsid w:val="1B775151"/>
    <w:rsid w:val="1BAB2AF6"/>
    <w:rsid w:val="1BD321D4"/>
    <w:rsid w:val="1C087973"/>
    <w:rsid w:val="1CA9557A"/>
    <w:rsid w:val="1D012A34"/>
    <w:rsid w:val="1D1D5B29"/>
    <w:rsid w:val="1D6C63D6"/>
    <w:rsid w:val="1D6E5243"/>
    <w:rsid w:val="1D842C9B"/>
    <w:rsid w:val="1DA7393F"/>
    <w:rsid w:val="1DDE382A"/>
    <w:rsid w:val="1DF95410"/>
    <w:rsid w:val="1E1036B4"/>
    <w:rsid w:val="1E187E67"/>
    <w:rsid w:val="1E501EA8"/>
    <w:rsid w:val="1EAE2C28"/>
    <w:rsid w:val="1F4209E6"/>
    <w:rsid w:val="1F5B422E"/>
    <w:rsid w:val="1F7A7D9C"/>
    <w:rsid w:val="1FB4350B"/>
    <w:rsid w:val="1FC53217"/>
    <w:rsid w:val="1FDE07AA"/>
    <w:rsid w:val="1FF30823"/>
    <w:rsid w:val="20907C82"/>
    <w:rsid w:val="21005729"/>
    <w:rsid w:val="219D086D"/>
    <w:rsid w:val="21A54F6C"/>
    <w:rsid w:val="21EE6971"/>
    <w:rsid w:val="220024E7"/>
    <w:rsid w:val="220C7A47"/>
    <w:rsid w:val="223528F8"/>
    <w:rsid w:val="224A5782"/>
    <w:rsid w:val="226C45D5"/>
    <w:rsid w:val="23C76B4A"/>
    <w:rsid w:val="23ED32E6"/>
    <w:rsid w:val="24497052"/>
    <w:rsid w:val="24EA0E89"/>
    <w:rsid w:val="24EE7865"/>
    <w:rsid w:val="24EF69FC"/>
    <w:rsid w:val="25387074"/>
    <w:rsid w:val="256B17E8"/>
    <w:rsid w:val="256D752A"/>
    <w:rsid w:val="25726037"/>
    <w:rsid w:val="25D51E89"/>
    <w:rsid w:val="25F328E8"/>
    <w:rsid w:val="25FB6166"/>
    <w:rsid w:val="25FD5E8A"/>
    <w:rsid w:val="260E0106"/>
    <w:rsid w:val="262D7AA5"/>
    <w:rsid w:val="269312C9"/>
    <w:rsid w:val="26C70531"/>
    <w:rsid w:val="26F009A7"/>
    <w:rsid w:val="26FD010D"/>
    <w:rsid w:val="281E0F1E"/>
    <w:rsid w:val="282B448B"/>
    <w:rsid w:val="28413858"/>
    <w:rsid w:val="293D189C"/>
    <w:rsid w:val="298C4C18"/>
    <w:rsid w:val="29D239ED"/>
    <w:rsid w:val="29FB7794"/>
    <w:rsid w:val="2A276947"/>
    <w:rsid w:val="2A6A5DDF"/>
    <w:rsid w:val="2A966C10"/>
    <w:rsid w:val="2A967031"/>
    <w:rsid w:val="2AA42F9C"/>
    <w:rsid w:val="2AB80D08"/>
    <w:rsid w:val="2BD14098"/>
    <w:rsid w:val="2C2A0420"/>
    <w:rsid w:val="2C7B667F"/>
    <w:rsid w:val="2CAE37A2"/>
    <w:rsid w:val="2CCE1DB2"/>
    <w:rsid w:val="2D5A1FE5"/>
    <w:rsid w:val="2D693E84"/>
    <w:rsid w:val="2D9C4251"/>
    <w:rsid w:val="2D9D6609"/>
    <w:rsid w:val="2DE52571"/>
    <w:rsid w:val="2DF079B9"/>
    <w:rsid w:val="2E5759E1"/>
    <w:rsid w:val="2E902201"/>
    <w:rsid w:val="2EAF4004"/>
    <w:rsid w:val="2ECA2081"/>
    <w:rsid w:val="2F4E4496"/>
    <w:rsid w:val="2F841FE7"/>
    <w:rsid w:val="2F9E16B9"/>
    <w:rsid w:val="2FB973E8"/>
    <w:rsid w:val="30237D25"/>
    <w:rsid w:val="303178B9"/>
    <w:rsid w:val="304812A5"/>
    <w:rsid w:val="31284FE6"/>
    <w:rsid w:val="317D4AC1"/>
    <w:rsid w:val="31B84A95"/>
    <w:rsid w:val="3254621E"/>
    <w:rsid w:val="32672A55"/>
    <w:rsid w:val="330608B6"/>
    <w:rsid w:val="33DB68C4"/>
    <w:rsid w:val="34665E99"/>
    <w:rsid w:val="3488773F"/>
    <w:rsid w:val="34C1048C"/>
    <w:rsid w:val="355C2A2E"/>
    <w:rsid w:val="36470121"/>
    <w:rsid w:val="36547876"/>
    <w:rsid w:val="36E02A0F"/>
    <w:rsid w:val="37397773"/>
    <w:rsid w:val="374D4F24"/>
    <w:rsid w:val="378A7FA2"/>
    <w:rsid w:val="379D4DB3"/>
    <w:rsid w:val="37D40CDE"/>
    <w:rsid w:val="381A757E"/>
    <w:rsid w:val="384774D0"/>
    <w:rsid w:val="384F2C12"/>
    <w:rsid w:val="38916240"/>
    <w:rsid w:val="39102027"/>
    <w:rsid w:val="39857A23"/>
    <w:rsid w:val="39A17B7E"/>
    <w:rsid w:val="39A75B3A"/>
    <w:rsid w:val="39F011EE"/>
    <w:rsid w:val="3A2C2AEB"/>
    <w:rsid w:val="3A7F1BC2"/>
    <w:rsid w:val="3AC0734E"/>
    <w:rsid w:val="3AD76EE6"/>
    <w:rsid w:val="3B620FCD"/>
    <w:rsid w:val="3BAA1559"/>
    <w:rsid w:val="3C3E09AD"/>
    <w:rsid w:val="3C960D3E"/>
    <w:rsid w:val="3D18191F"/>
    <w:rsid w:val="3D3F4CC1"/>
    <w:rsid w:val="3D52616A"/>
    <w:rsid w:val="3D661EB4"/>
    <w:rsid w:val="3DFC68BE"/>
    <w:rsid w:val="3E7D4E6C"/>
    <w:rsid w:val="3E876B57"/>
    <w:rsid w:val="3EA877FB"/>
    <w:rsid w:val="3F43650E"/>
    <w:rsid w:val="3F5A55EE"/>
    <w:rsid w:val="3FA11CBB"/>
    <w:rsid w:val="3FA70363"/>
    <w:rsid w:val="40170497"/>
    <w:rsid w:val="407A0109"/>
    <w:rsid w:val="40B217B0"/>
    <w:rsid w:val="40B3247B"/>
    <w:rsid w:val="40C14BAA"/>
    <w:rsid w:val="415E73E4"/>
    <w:rsid w:val="41634485"/>
    <w:rsid w:val="41700CF1"/>
    <w:rsid w:val="41A551EF"/>
    <w:rsid w:val="41FE69E4"/>
    <w:rsid w:val="421D20D2"/>
    <w:rsid w:val="42201EB7"/>
    <w:rsid w:val="425351D7"/>
    <w:rsid w:val="425A40BA"/>
    <w:rsid w:val="42944682"/>
    <w:rsid w:val="42BA6DD5"/>
    <w:rsid w:val="42C87A31"/>
    <w:rsid w:val="42E367EA"/>
    <w:rsid w:val="42F8343A"/>
    <w:rsid w:val="43040AF8"/>
    <w:rsid w:val="430E0E2A"/>
    <w:rsid w:val="43107B8C"/>
    <w:rsid w:val="43D45E7E"/>
    <w:rsid w:val="44081CE3"/>
    <w:rsid w:val="444F16DA"/>
    <w:rsid w:val="445568D0"/>
    <w:rsid w:val="44D64778"/>
    <w:rsid w:val="44DC2062"/>
    <w:rsid w:val="45663660"/>
    <w:rsid w:val="459A0FDA"/>
    <w:rsid w:val="45A01EFE"/>
    <w:rsid w:val="45C842F6"/>
    <w:rsid w:val="45FF1E30"/>
    <w:rsid w:val="464858E6"/>
    <w:rsid w:val="465015DF"/>
    <w:rsid w:val="468E5695"/>
    <w:rsid w:val="46930980"/>
    <w:rsid w:val="46DE6A47"/>
    <w:rsid w:val="46ED25DB"/>
    <w:rsid w:val="46F5449F"/>
    <w:rsid w:val="475C1665"/>
    <w:rsid w:val="47670323"/>
    <w:rsid w:val="47883850"/>
    <w:rsid w:val="47981F6D"/>
    <w:rsid w:val="48674FE0"/>
    <w:rsid w:val="488D3F83"/>
    <w:rsid w:val="488E4B85"/>
    <w:rsid w:val="48D43AF5"/>
    <w:rsid w:val="48E8578B"/>
    <w:rsid w:val="48FF5CA5"/>
    <w:rsid w:val="49164110"/>
    <w:rsid w:val="494277D6"/>
    <w:rsid w:val="498666EB"/>
    <w:rsid w:val="499D2F63"/>
    <w:rsid w:val="49B921E8"/>
    <w:rsid w:val="49CF313E"/>
    <w:rsid w:val="49DF273C"/>
    <w:rsid w:val="49EC5D1F"/>
    <w:rsid w:val="4A790AE6"/>
    <w:rsid w:val="4AE32A46"/>
    <w:rsid w:val="4B19176C"/>
    <w:rsid w:val="4B481012"/>
    <w:rsid w:val="4B6D52F0"/>
    <w:rsid w:val="4B9B76B9"/>
    <w:rsid w:val="4BA9532F"/>
    <w:rsid w:val="4BDF76CE"/>
    <w:rsid w:val="4C103449"/>
    <w:rsid w:val="4C1927DE"/>
    <w:rsid w:val="4C25494E"/>
    <w:rsid w:val="4D4B3948"/>
    <w:rsid w:val="4D632DAC"/>
    <w:rsid w:val="4DEA285C"/>
    <w:rsid w:val="4E0252FF"/>
    <w:rsid w:val="4E611B1E"/>
    <w:rsid w:val="4EAC6586"/>
    <w:rsid w:val="4EAC6901"/>
    <w:rsid w:val="4EBF1788"/>
    <w:rsid w:val="4EFC0BEA"/>
    <w:rsid w:val="4F073E47"/>
    <w:rsid w:val="4FF92C7E"/>
    <w:rsid w:val="50243ED3"/>
    <w:rsid w:val="506520D9"/>
    <w:rsid w:val="50A07570"/>
    <w:rsid w:val="50BA1BA0"/>
    <w:rsid w:val="50D44C1F"/>
    <w:rsid w:val="50EF3C7A"/>
    <w:rsid w:val="51617FB5"/>
    <w:rsid w:val="5210461F"/>
    <w:rsid w:val="523315BB"/>
    <w:rsid w:val="52B12682"/>
    <w:rsid w:val="535A1E69"/>
    <w:rsid w:val="53694FB0"/>
    <w:rsid w:val="53DF2889"/>
    <w:rsid w:val="54D71A9C"/>
    <w:rsid w:val="550173DB"/>
    <w:rsid w:val="55110331"/>
    <w:rsid w:val="553E3BA0"/>
    <w:rsid w:val="56026917"/>
    <w:rsid w:val="561827A2"/>
    <w:rsid w:val="56394C3B"/>
    <w:rsid w:val="57107769"/>
    <w:rsid w:val="57655C0D"/>
    <w:rsid w:val="57665D1B"/>
    <w:rsid w:val="5786211A"/>
    <w:rsid w:val="578F110B"/>
    <w:rsid w:val="57DD01BB"/>
    <w:rsid w:val="58184E84"/>
    <w:rsid w:val="58336974"/>
    <w:rsid w:val="58CA5FA4"/>
    <w:rsid w:val="58D95C79"/>
    <w:rsid w:val="597F3B43"/>
    <w:rsid w:val="59A66FA5"/>
    <w:rsid w:val="59B244FC"/>
    <w:rsid w:val="59C7537F"/>
    <w:rsid w:val="5A680C74"/>
    <w:rsid w:val="5AC239AC"/>
    <w:rsid w:val="5BB10E82"/>
    <w:rsid w:val="5C577976"/>
    <w:rsid w:val="5C5E0D50"/>
    <w:rsid w:val="5CEB585B"/>
    <w:rsid w:val="5CF60014"/>
    <w:rsid w:val="5D1E4238"/>
    <w:rsid w:val="5D1E7C35"/>
    <w:rsid w:val="5D804C3D"/>
    <w:rsid w:val="5D990B4B"/>
    <w:rsid w:val="5DA5741B"/>
    <w:rsid w:val="5DE3693D"/>
    <w:rsid w:val="5E145684"/>
    <w:rsid w:val="5E1759F5"/>
    <w:rsid w:val="5E715B35"/>
    <w:rsid w:val="5F863DFE"/>
    <w:rsid w:val="5FBB10EE"/>
    <w:rsid w:val="60637A3C"/>
    <w:rsid w:val="61220D3B"/>
    <w:rsid w:val="617A6E6A"/>
    <w:rsid w:val="62605676"/>
    <w:rsid w:val="62944EAA"/>
    <w:rsid w:val="633D58EA"/>
    <w:rsid w:val="63443DEA"/>
    <w:rsid w:val="637C2C25"/>
    <w:rsid w:val="638178F6"/>
    <w:rsid w:val="63822478"/>
    <w:rsid w:val="640249FC"/>
    <w:rsid w:val="644861B7"/>
    <w:rsid w:val="647922B7"/>
    <w:rsid w:val="647D2A9B"/>
    <w:rsid w:val="64955AEC"/>
    <w:rsid w:val="649E743A"/>
    <w:rsid w:val="64B00143"/>
    <w:rsid w:val="65087EBE"/>
    <w:rsid w:val="650C7D91"/>
    <w:rsid w:val="652E131F"/>
    <w:rsid w:val="659251B9"/>
    <w:rsid w:val="65CF134B"/>
    <w:rsid w:val="660F59CC"/>
    <w:rsid w:val="66AB479B"/>
    <w:rsid w:val="66AC6B5C"/>
    <w:rsid w:val="66D121DB"/>
    <w:rsid w:val="66F83AC7"/>
    <w:rsid w:val="67073103"/>
    <w:rsid w:val="67366703"/>
    <w:rsid w:val="67B66D2C"/>
    <w:rsid w:val="67D474B8"/>
    <w:rsid w:val="682D75F7"/>
    <w:rsid w:val="687E7D79"/>
    <w:rsid w:val="6882624B"/>
    <w:rsid w:val="68A6172F"/>
    <w:rsid w:val="68B60540"/>
    <w:rsid w:val="68F51430"/>
    <w:rsid w:val="693D2144"/>
    <w:rsid w:val="6983031A"/>
    <w:rsid w:val="69945A9D"/>
    <w:rsid w:val="699B1E70"/>
    <w:rsid w:val="69D9618E"/>
    <w:rsid w:val="6A9F2CEC"/>
    <w:rsid w:val="6AE13C40"/>
    <w:rsid w:val="6B1D1742"/>
    <w:rsid w:val="6B385477"/>
    <w:rsid w:val="6BCC655B"/>
    <w:rsid w:val="6C0A1F59"/>
    <w:rsid w:val="6C0B30A6"/>
    <w:rsid w:val="6C935C22"/>
    <w:rsid w:val="6CB626E0"/>
    <w:rsid w:val="6CCF09D7"/>
    <w:rsid w:val="6D097428"/>
    <w:rsid w:val="6D1A653B"/>
    <w:rsid w:val="6D340FC0"/>
    <w:rsid w:val="6D921CD5"/>
    <w:rsid w:val="6DCA4EB2"/>
    <w:rsid w:val="6DCF5C7A"/>
    <w:rsid w:val="6E2544C9"/>
    <w:rsid w:val="6E29110E"/>
    <w:rsid w:val="6EAC7C83"/>
    <w:rsid w:val="6F357A85"/>
    <w:rsid w:val="6F9E7AB4"/>
    <w:rsid w:val="70291B97"/>
    <w:rsid w:val="703125A4"/>
    <w:rsid w:val="70942356"/>
    <w:rsid w:val="70AE4211"/>
    <w:rsid w:val="70F76B09"/>
    <w:rsid w:val="711A21C6"/>
    <w:rsid w:val="71471002"/>
    <w:rsid w:val="71A027FB"/>
    <w:rsid w:val="71EF0FC9"/>
    <w:rsid w:val="71FC0D02"/>
    <w:rsid w:val="72063061"/>
    <w:rsid w:val="72A05C74"/>
    <w:rsid w:val="72A4060D"/>
    <w:rsid w:val="72E66025"/>
    <w:rsid w:val="733736D1"/>
    <w:rsid w:val="738753A0"/>
    <w:rsid w:val="73AD534C"/>
    <w:rsid w:val="73B23877"/>
    <w:rsid w:val="73FD63CD"/>
    <w:rsid w:val="740424DB"/>
    <w:rsid w:val="7428716F"/>
    <w:rsid w:val="742F4771"/>
    <w:rsid w:val="745F1DAD"/>
    <w:rsid w:val="749412EE"/>
    <w:rsid w:val="749624BA"/>
    <w:rsid w:val="75021933"/>
    <w:rsid w:val="75512303"/>
    <w:rsid w:val="757B125F"/>
    <w:rsid w:val="768A4282"/>
    <w:rsid w:val="76CF3812"/>
    <w:rsid w:val="776A1281"/>
    <w:rsid w:val="77AB0EF3"/>
    <w:rsid w:val="782A5E63"/>
    <w:rsid w:val="78DC3575"/>
    <w:rsid w:val="795858D0"/>
    <w:rsid w:val="79A30089"/>
    <w:rsid w:val="79EA18F0"/>
    <w:rsid w:val="7A535BCD"/>
    <w:rsid w:val="7A76043B"/>
    <w:rsid w:val="7AC57B27"/>
    <w:rsid w:val="7AEC177C"/>
    <w:rsid w:val="7B7501BF"/>
    <w:rsid w:val="7BA50440"/>
    <w:rsid w:val="7BE74FF2"/>
    <w:rsid w:val="7C680DB1"/>
    <w:rsid w:val="7C9D230A"/>
    <w:rsid w:val="7CC35FDE"/>
    <w:rsid w:val="7CD403DC"/>
    <w:rsid w:val="7D345AAC"/>
    <w:rsid w:val="7D374584"/>
    <w:rsid w:val="7D492687"/>
    <w:rsid w:val="7DD775E1"/>
    <w:rsid w:val="7DE9138A"/>
    <w:rsid w:val="7E162703"/>
    <w:rsid w:val="7E527E08"/>
    <w:rsid w:val="7E9B63B4"/>
    <w:rsid w:val="7EAF045C"/>
    <w:rsid w:val="7F3373BD"/>
    <w:rsid w:val="7F681F92"/>
    <w:rsid w:val="7F6F48D7"/>
    <w:rsid w:val="7F7F02F6"/>
    <w:rsid w:val="7F9837E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29"/>
    <w:qFormat/>
    <w:uiPriority w:val="0"/>
    <w:pPr>
      <w:keepNext/>
      <w:keepLines/>
      <w:spacing w:before="340" w:after="330" w:line="576" w:lineRule="auto"/>
      <w:outlineLvl w:val="0"/>
    </w:pPr>
    <w:rPr>
      <w:rFonts w:ascii="Times New Roman" w:hAnsi="Times New Roman" w:eastAsia="宋体" w:cs="Times New Roman"/>
      <w:b/>
      <w:kern w:val="44"/>
      <w:sz w:val="44"/>
      <w:szCs w:val="20"/>
    </w:rPr>
  </w:style>
  <w:style w:type="paragraph" w:styleId="6">
    <w:name w:val="heading 2"/>
    <w:basedOn w:val="1"/>
    <w:next w:val="1"/>
    <w:link w:val="44"/>
    <w:qFormat/>
    <w:uiPriority w:val="0"/>
    <w:pPr>
      <w:keepNext/>
      <w:keepLines/>
      <w:spacing w:before="260" w:after="260" w:line="413" w:lineRule="auto"/>
      <w:outlineLvl w:val="1"/>
    </w:pPr>
    <w:rPr>
      <w:rFonts w:ascii="Arial" w:hAnsi="Arial" w:eastAsia="黑体" w:cs="Times New Roman"/>
      <w:b/>
      <w:kern w:val="0"/>
      <w:sz w:val="32"/>
      <w:szCs w:val="20"/>
    </w:rPr>
  </w:style>
  <w:style w:type="paragraph" w:styleId="7">
    <w:name w:val="heading 3"/>
    <w:basedOn w:val="1"/>
    <w:next w:val="1"/>
    <w:link w:val="36"/>
    <w:unhideWhenUsed/>
    <w:qFormat/>
    <w:uiPriority w:val="9"/>
    <w:pPr>
      <w:keepNext/>
      <w:keepLines/>
      <w:tabs>
        <w:tab w:val="left" w:pos="720"/>
      </w:tabs>
      <w:spacing w:before="120" w:after="120" w:line="360" w:lineRule="auto"/>
      <w:jc w:val="center"/>
      <w:outlineLvl w:val="2"/>
    </w:pPr>
    <w:rPr>
      <w:rFonts w:ascii="Times New Roman" w:hAnsi="Times New Roman" w:eastAsia="黑体" w:cs="Times New Roman"/>
      <w:b/>
      <w:sz w:val="28"/>
      <w:szCs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tabs>
        <w:tab w:val="left" w:pos="180"/>
      </w:tabs>
      <w:ind w:firstLine="420" w:firstLineChars="100"/>
    </w:pPr>
  </w:style>
  <w:style w:type="paragraph" w:styleId="3">
    <w:name w:val="Body Text"/>
    <w:basedOn w:val="1"/>
    <w:next w:val="4"/>
    <w:unhideWhenUsed/>
    <w:qFormat/>
    <w:uiPriority w:val="99"/>
    <w:pPr>
      <w:spacing w:after="120"/>
    </w:pPr>
  </w:style>
  <w:style w:type="paragraph" w:styleId="4">
    <w:name w:val="Date"/>
    <w:basedOn w:val="1"/>
    <w:next w:val="1"/>
    <w:qFormat/>
    <w:uiPriority w:val="0"/>
    <w:rPr>
      <w:sz w:val="24"/>
      <w:szCs w:val="20"/>
    </w:rPr>
  </w:style>
  <w:style w:type="paragraph" w:styleId="8">
    <w:name w:val="annotation text"/>
    <w:basedOn w:val="1"/>
    <w:link w:val="39"/>
    <w:unhideWhenUsed/>
    <w:qFormat/>
    <w:uiPriority w:val="99"/>
    <w:pPr>
      <w:jc w:val="left"/>
    </w:pPr>
  </w:style>
  <w:style w:type="paragraph" w:styleId="9">
    <w:name w:val="Body Text Indent"/>
    <w:basedOn w:val="1"/>
    <w:link w:val="32"/>
    <w:unhideWhenUsed/>
    <w:qFormat/>
    <w:uiPriority w:val="99"/>
    <w:pPr>
      <w:ind w:firstLine="600" w:firstLineChars="200"/>
    </w:pPr>
    <w:rPr>
      <w:rFonts w:ascii="Times New Roman" w:hAnsi="Times New Roman" w:eastAsia="楷体_GB2312" w:cs="Times New Roman"/>
      <w:sz w:val="30"/>
      <w:szCs w:val="20"/>
    </w:rPr>
  </w:style>
  <w:style w:type="paragraph" w:styleId="10">
    <w:name w:val="Plain Text"/>
    <w:basedOn w:val="1"/>
    <w:qFormat/>
    <w:uiPriority w:val="0"/>
    <w:rPr>
      <w:rFonts w:ascii="宋体" w:hAnsi="Courier New" w:eastAsia="宋体"/>
      <w:sz w:val="21"/>
      <w:szCs w:val="20"/>
    </w:rPr>
  </w:style>
  <w:style w:type="paragraph" w:styleId="11">
    <w:name w:val="Body Text Indent 2"/>
    <w:basedOn w:val="1"/>
    <w:link w:val="33"/>
    <w:unhideWhenUsed/>
    <w:qFormat/>
    <w:uiPriority w:val="99"/>
    <w:pPr>
      <w:ind w:left="600"/>
    </w:pPr>
    <w:rPr>
      <w:rFonts w:ascii="Times New Roman" w:hAnsi="Times New Roman" w:eastAsia="楷体_GB2312" w:cs="Times New Roman"/>
      <w:sz w:val="30"/>
      <w:szCs w:val="20"/>
    </w:rPr>
  </w:style>
  <w:style w:type="paragraph" w:styleId="12">
    <w:name w:val="Balloon Text"/>
    <w:basedOn w:val="1"/>
    <w:link w:val="37"/>
    <w:unhideWhenUsed/>
    <w:qFormat/>
    <w:uiPriority w:val="99"/>
    <w:rPr>
      <w:sz w:val="18"/>
      <w:szCs w:val="18"/>
    </w:rPr>
  </w:style>
  <w:style w:type="paragraph" w:styleId="13">
    <w:name w:val="footer"/>
    <w:basedOn w:val="1"/>
    <w:link w:val="35"/>
    <w:unhideWhenUsed/>
    <w:qFormat/>
    <w:uiPriority w:val="0"/>
    <w:pPr>
      <w:tabs>
        <w:tab w:val="center" w:pos="4153"/>
        <w:tab w:val="right" w:pos="8306"/>
      </w:tabs>
      <w:snapToGrid w:val="0"/>
      <w:jc w:val="left"/>
    </w:pPr>
    <w:rPr>
      <w:sz w:val="18"/>
      <w:szCs w:val="18"/>
    </w:rPr>
  </w:style>
  <w:style w:type="paragraph" w:styleId="14">
    <w:name w:val="header"/>
    <w:basedOn w:val="1"/>
    <w:link w:val="34"/>
    <w:unhideWhenUsed/>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rPr>
      <w:rFonts w:ascii="Times New Roman" w:hAnsi="Times New Roman" w:eastAsia="宋体" w:cs="Times New Roman"/>
      <w:szCs w:val="20"/>
    </w:rPr>
  </w:style>
  <w:style w:type="paragraph" w:styleId="16">
    <w:name w:val="toc 2"/>
    <w:basedOn w:val="1"/>
    <w:next w:val="1"/>
    <w:unhideWhenUsed/>
    <w:qFormat/>
    <w:uiPriority w:val="39"/>
    <w:pPr>
      <w:ind w:left="420" w:leftChars="200"/>
    </w:pPr>
  </w:style>
  <w:style w:type="paragraph" w:styleId="17">
    <w:name w:val="Normal (Web)"/>
    <w:basedOn w:val="1"/>
    <w:unhideWhenUsed/>
    <w:qFormat/>
    <w:uiPriority w:val="99"/>
    <w:pPr>
      <w:widowControl/>
      <w:spacing w:before="100" w:beforeAutospacing="1" w:after="100" w:afterAutospacing="1"/>
      <w:jc w:val="left"/>
    </w:pPr>
    <w:rPr>
      <w:rFonts w:ascii="宋体" w:hAnsi="宋体" w:eastAsia="宋体" w:cs="宋体"/>
      <w:color w:val="000000"/>
      <w:kern w:val="0"/>
      <w:sz w:val="24"/>
      <w:szCs w:val="20"/>
    </w:rPr>
  </w:style>
  <w:style w:type="paragraph" w:styleId="18">
    <w:name w:val="annotation subject"/>
    <w:basedOn w:val="8"/>
    <w:next w:val="8"/>
    <w:link w:val="40"/>
    <w:unhideWhenUsed/>
    <w:qFormat/>
    <w:uiPriority w:val="99"/>
    <w:rPr>
      <w:b/>
      <w:bCs/>
    </w:rPr>
  </w:style>
  <w:style w:type="table" w:styleId="20">
    <w:name w:val="Table Grid"/>
    <w:basedOn w:val="1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22"/>
    <w:rPr>
      <w:rFonts w:ascii="Tahoma" w:hAnsi="Tahoma"/>
      <w:b/>
      <w:bCs/>
      <w:sz w:val="24"/>
      <w:szCs w:val="20"/>
    </w:rPr>
  </w:style>
  <w:style w:type="character" w:styleId="23">
    <w:name w:val="page number"/>
    <w:basedOn w:val="21"/>
    <w:unhideWhenUsed/>
    <w:qFormat/>
    <w:uiPriority w:val="99"/>
    <w:rPr>
      <w:rFonts w:ascii="Tahoma" w:hAnsi="Tahoma"/>
      <w:sz w:val="24"/>
      <w:szCs w:val="20"/>
    </w:rPr>
  </w:style>
  <w:style w:type="character" w:styleId="24">
    <w:name w:val="FollowedHyperlink"/>
    <w:basedOn w:val="21"/>
    <w:unhideWhenUsed/>
    <w:qFormat/>
    <w:uiPriority w:val="99"/>
    <w:rPr>
      <w:rFonts w:ascii="Tahoma" w:hAnsi="Tahoma"/>
      <w:color w:val="800080"/>
      <w:sz w:val="24"/>
      <w:szCs w:val="20"/>
      <w:u w:val="single"/>
    </w:rPr>
  </w:style>
  <w:style w:type="character" w:styleId="25">
    <w:name w:val="Hyperlink"/>
    <w:basedOn w:val="21"/>
    <w:unhideWhenUsed/>
    <w:qFormat/>
    <w:uiPriority w:val="99"/>
    <w:rPr>
      <w:color w:val="0000FF" w:themeColor="hyperlink"/>
      <w:u w:val="single"/>
      <w14:textFill>
        <w14:solidFill>
          <w14:schemeClr w14:val="hlink"/>
        </w14:solidFill>
      </w14:textFill>
    </w:rPr>
  </w:style>
  <w:style w:type="character" w:styleId="26">
    <w:name w:val="annotation reference"/>
    <w:basedOn w:val="21"/>
    <w:unhideWhenUsed/>
    <w:qFormat/>
    <w:uiPriority w:val="99"/>
    <w:rPr>
      <w:sz w:val="21"/>
      <w:szCs w:val="21"/>
    </w:rPr>
  </w:style>
  <w:style w:type="character" w:customStyle="1" w:styleId="27">
    <w:name w:val="页眉 Char"/>
    <w:basedOn w:val="21"/>
    <w:semiHidden/>
    <w:qFormat/>
    <w:uiPriority w:val="99"/>
    <w:rPr>
      <w:sz w:val="18"/>
      <w:szCs w:val="18"/>
    </w:rPr>
  </w:style>
  <w:style w:type="character" w:customStyle="1" w:styleId="28">
    <w:name w:val="页脚 Char"/>
    <w:basedOn w:val="21"/>
    <w:semiHidden/>
    <w:qFormat/>
    <w:uiPriority w:val="99"/>
    <w:rPr>
      <w:sz w:val="18"/>
      <w:szCs w:val="18"/>
    </w:rPr>
  </w:style>
  <w:style w:type="character" w:customStyle="1" w:styleId="29">
    <w:name w:val="标题 1 Char"/>
    <w:basedOn w:val="21"/>
    <w:link w:val="5"/>
    <w:qFormat/>
    <w:uiPriority w:val="0"/>
    <w:rPr>
      <w:rFonts w:ascii="Times New Roman" w:hAnsi="Times New Roman" w:eastAsia="宋体" w:cs="Times New Roman"/>
      <w:b/>
      <w:kern w:val="44"/>
      <w:sz w:val="44"/>
      <w:szCs w:val="20"/>
    </w:rPr>
  </w:style>
  <w:style w:type="character" w:customStyle="1" w:styleId="30">
    <w:name w:val="标题 2 Char"/>
    <w:basedOn w:val="21"/>
    <w:link w:val="6"/>
    <w:qFormat/>
    <w:uiPriority w:val="0"/>
    <w:rPr>
      <w:rFonts w:ascii="Arial" w:hAnsi="Arial" w:eastAsia="黑体" w:cs="Times New Roman"/>
      <w:b/>
      <w:kern w:val="0"/>
      <w:sz w:val="32"/>
      <w:szCs w:val="20"/>
    </w:rPr>
  </w:style>
  <w:style w:type="paragraph" w:customStyle="1" w:styleId="31">
    <w:name w:val="Char"/>
    <w:basedOn w:val="1"/>
    <w:qFormat/>
    <w:uiPriority w:val="0"/>
    <w:rPr>
      <w:rFonts w:ascii="Tahoma" w:hAnsi="Tahoma" w:eastAsia="宋体" w:cs="Times New Roman"/>
      <w:sz w:val="24"/>
      <w:szCs w:val="20"/>
    </w:rPr>
  </w:style>
  <w:style w:type="character" w:customStyle="1" w:styleId="32">
    <w:name w:val="正文文本缩进 Char"/>
    <w:basedOn w:val="21"/>
    <w:link w:val="9"/>
    <w:qFormat/>
    <w:uiPriority w:val="99"/>
    <w:rPr>
      <w:rFonts w:ascii="Times New Roman" w:hAnsi="Times New Roman" w:eastAsia="楷体_GB2312" w:cs="Times New Roman"/>
      <w:sz w:val="30"/>
      <w:szCs w:val="20"/>
    </w:rPr>
  </w:style>
  <w:style w:type="character" w:customStyle="1" w:styleId="33">
    <w:name w:val="正文文本缩进 2 Char"/>
    <w:basedOn w:val="21"/>
    <w:link w:val="11"/>
    <w:qFormat/>
    <w:uiPriority w:val="99"/>
    <w:rPr>
      <w:rFonts w:ascii="Times New Roman" w:hAnsi="Times New Roman" w:eastAsia="楷体_GB2312" w:cs="Times New Roman"/>
      <w:sz w:val="30"/>
      <w:szCs w:val="20"/>
    </w:rPr>
  </w:style>
  <w:style w:type="character" w:customStyle="1" w:styleId="34">
    <w:name w:val="页眉 Char1"/>
    <w:basedOn w:val="21"/>
    <w:link w:val="14"/>
    <w:qFormat/>
    <w:uiPriority w:val="0"/>
    <w:rPr>
      <w:rFonts w:hint="default" w:ascii="Times New Roman" w:hAnsi="Times New Roman" w:cs="Times New Roman"/>
      <w:kern w:val="2"/>
      <w:sz w:val="18"/>
      <w:szCs w:val="18"/>
    </w:rPr>
  </w:style>
  <w:style w:type="character" w:customStyle="1" w:styleId="35">
    <w:name w:val="页脚 Char1"/>
    <w:basedOn w:val="21"/>
    <w:link w:val="13"/>
    <w:qFormat/>
    <w:uiPriority w:val="0"/>
    <w:rPr>
      <w:rFonts w:hint="default" w:ascii="Times New Roman" w:hAnsi="Times New Roman" w:cs="Times New Roman"/>
      <w:kern w:val="2"/>
      <w:sz w:val="18"/>
      <w:szCs w:val="18"/>
    </w:rPr>
  </w:style>
  <w:style w:type="character" w:customStyle="1" w:styleId="36">
    <w:name w:val="标题 3 Char"/>
    <w:basedOn w:val="21"/>
    <w:link w:val="7"/>
    <w:qFormat/>
    <w:uiPriority w:val="0"/>
    <w:rPr>
      <w:rFonts w:hint="eastAsia" w:ascii="黑体" w:hAnsi="宋体" w:eastAsia="黑体" w:cs="黑体"/>
      <w:b/>
      <w:kern w:val="2"/>
      <w:sz w:val="28"/>
      <w:szCs w:val="32"/>
    </w:rPr>
  </w:style>
  <w:style w:type="character" w:customStyle="1" w:styleId="37">
    <w:name w:val="批注框文本 Char"/>
    <w:basedOn w:val="21"/>
    <w:link w:val="12"/>
    <w:semiHidden/>
    <w:qFormat/>
    <w:uiPriority w:val="99"/>
    <w:rPr>
      <w:rFonts w:asciiTheme="minorHAnsi" w:hAnsiTheme="minorHAnsi" w:eastAsiaTheme="minorEastAsia" w:cstheme="minorBidi"/>
      <w:kern w:val="2"/>
      <w:sz w:val="18"/>
      <w:szCs w:val="18"/>
    </w:rPr>
  </w:style>
  <w:style w:type="character" w:customStyle="1" w:styleId="38">
    <w:name w:val="font21"/>
    <w:qFormat/>
    <w:uiPriority w:val="0"/>
    <w:rPr>
      <w:rFonts w:hint="default" w:ascii="Times New Roman" w:hAnsi="Times New Roman" w:cs="Times New Roman"/>
      <w:color w:val="000000"/>
      <w:sz w:val="20"/>
      <w:szCs w:val="20"/>
      <w:u w:val="none"/>
    </w:rPr>
  </w:style>
  <w:style w:type="character" w:customStyle="1" w:styleId="39">
    <w:name w:val="批注文字 Char"/>
    <w:basedOn w:val="21"/>
    <w:link w:val="8"/>
    <w:qFormat/>
    <w:uiPriority w:val="99"/>
    <w:rPr>
      <w:rFonts w:asciiTheme="minorHAnsi" w:hAnsiTheme="minorHAnsi" w:eastAsiaTheme="minorEastAsia" w:cstheme="minorBidi"/>
      <w:kern w:val="2"/>
      <w:sz w:val="21"/>
      <w:szCs w:val="22"/>
    </w:rPr>
  </w:style>
  <w:style w:type="character" w:customStyle="1" w:styleId="40">
    <w:name w:val="批注主题 Char"/>
    <w:basedOn w:val="39"/>
    <w:link w:val="18"/>
    <w:semiHidden/>
    <w:qFormat/>
    <w:uiPriority w:val="99"/>
    <w:rPr>
      <w:rFonts w:asciiTheme="minorHAnsi" w:hAnsiTheme="minorHAnsi" w:eastAsiaTheme="minorEastAsia" w:cstheme="minorBidi"/>
      <w:b/>
      <w:bCs/>
      <w:kern w:val="2"/>
      <w:sz w:val="21"/>
      <w:szCs w:val="22"/>
    </w:rPr>
  </w:style>
  <w:style w:type="paragraph" w:styleId="41">
    <w:name w:val="List Paragraph"/>
    <w:basedOn w:val="1"/>
    <w:qFormat/>
    <w:uiPriority w:val="99"/>
    <w:pPr>
      <w:ind w:firstLine="420" w:firstLineChars="200"/>
    </w:pPr>
  </w:style>
  <w:style w:type="character" w:customStyle="1" w:styleId="42">
    <w:name w:val="font141"/>
    <w:qFormat/>
    <w:uiPriority w:val="0"/>
    <w:rPr>
      <w:rFonts w:hint="eastAsia" w:ascii="宋体" w:hAnsi="宋体" w:eastAsia="宋体" w:cs="宋体"/>
      <w:color w:val="000000"/>
      <w:sz w:val="22"/>
      <w:szCs w:val="22"/>
      <w:u w:val="none"/>
    </w:rPr>
  </w:style>
  <w:style w:type="paragraph" w:customStyle="1" w:styleId="43">
    <w:name w:val="样式6"/>
    <w:basedOn w:val="1"/>
    <w:qFormat/>
    <w:uiPriority w:val="0"/>
    <w:pPr>
      <w:pBdr>
        <w:bottom w:val="thickThinMediumGap" w:color="auto" w:sz="18" w:space="1"/>
      </w:pBdr>
      <w:tabs>
        <w:tab w:val="center" w:pos="4153"/>
        <w:tab w:val="right" w:pos="8306"/>
      </w:tabs>
      <w:snapToGrid w:val="0"/>
      <w:jc w:val="center"/>
    </w:pPr>
    <w:rPr>
      <w:rFonts w:ascii="宋体" w:hAnsi="宋体"/>
      <w:b/>
      <w:bCs/>
      <w:szCs w:val="21"/>
    </w:rPr>
  </w:style>
  <w:style w:type="character" w:customStyle="1" w:styleId="44">
    <w:name w:val="标题 2 字符"/>
    <w:link w:val="6"/>
    <w:qFormat/>
    <w:uiPriority w:val="0"/>
    <w:rPr>
      <w:rFonts w:ascii="Arial" w:hAnsi="Arial" w:eastAsia="黑体" w:cs="Times New Roman"/>
      <w:b/>
      <w:kern w:val="0"/>
      <w:sz w:val="32"/>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5B8181-56A0-4FB4-865A-7EDD26EFE18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39</Pages>
  <Words>2852</Words>
  <Characters>16260</Characters>
  <Lines>135</Lines>
  <Paragraphs>38</Paragraphs>
  <TotalTime>2</TotalTime>
  <ScaleCrop>false</ScaleCrop>
  <LinksUpToDate>false</LinksUpToDate>
  <CharactersWithSpaces>19074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2017-05-23T11:14:00Z</dcterms:created>
  <dc:creator>正信伟业招标集团有限公司</dc:creator>
  <cp:lastModifiedBy>Mj</cp:lastModifiedBy>
  <cp:lastPrinted>2019-05-22T07:32:00Z</cp:lastPrinted>
  <dcterms:modified xsi:type="dcterms:W3CDTF">2020-08-12T03:58:50Z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