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sz w:val="21"/>
          <w:szCs w:val="21"/>
          <w:highlight w:val="none"/>
        </w:rPr>
      </w:pPr>
    </w:p>
    <w:p>
      <w:pPr>
        <w:snapToGrid w:val="0"/>
        <w:spacing w:line="360" w:lineRule="auto"/>
        <w:jc w:val="center"/>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snapToGrid w:val="0"/>
        <w:spacing w:line="36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eastAsia="zh-CN"/>
        </w:rPr>
        <w:t>哈尔滨工程大学校园网机房专用空调采购项目（二次）</w:t>
      </w:r>
    </w:p>
    <w:p>
      <w:pPr>
        <w:snapToGrid w:val="0"/>
        <w:spacing w:line="360" w:lineRule="auto"/>
        <w:rPr>
          <w:rFonts w:hint="eastAsia" w:ascii="宋体" w:hAnsi="宋体" w:cs="宋体"/>
          <w:b/>
          <w:bCs/>
          <w:sz w:val="44"/>
          <w:szCs w:val="44"/>
          <w:highlight w:val="none"/>
        </w:rPr>
      </w:pPr>
    </w:p>
    <w:p>
      <w:pPr>
        <w:pStyle w:val="2"/>
        <w:ind w:left="0" w:leftChars="0" w:firstLine="0" w:firstLineChars="0"/>
        <w:rPr>
          <w:rFonts w:hint="eastAsia" w:ascii="宋体" w:hAnsi="宋体" w:cs="宋体"/>
          <w:b/>
          <w:bCs/>
          <w:sz w:val="44"/>
          <w:szCs w:val="44"/>
          <w:highlight w:val="none"/>
        </w:rPr>
      </w:pPr>
    </w:p>
    <w:p>
      <w:pPr>
        <w:pStyle w:val="2"/>
        <w:rPr>
          <w:rFonts w:hint="eastAsia" w:ascii="宋体" w:hAnsi="宋体" w:cs="宋体"/>
          <w:b/>
          <w:bCs/>
          <w:sz w:val="44"/>
          <w:szCs w:val="44"/>
          <w:highlight w:val="none"/>
        </w:rPr>
      </w:pPr>
    </w:p>
    <w:p>
      <w:pPr>
        <w:snapToGrid w:val="0"/>
        <w:jc w:val="center"/>
        <w:rPr>
          <w:rFonts w:ascii="黑体" w:hAnsi="黑体" w:eastAsia="黑体" w:cs="黑体"/>
          <w:b/>
          <w:bCs w:val="0"/>
          <w:sz w:val="84"/>
          <w:highlight w:val="none"/>
        </w:rPr>
      </w:pPr>
      <w:r>
        <w:rPr>
          <w:rFonts w:hint="eastAsia" w:ascii="黑体" w:hAnsi="黑体" w:eastAsia="黑体" w:cs="黑体"/>
          <w:b/>
          <w:bCs w:val="0"/>
          <w:sz w:val="84"/>
          <w:highlight w:val="none"/>
        </w:rPr>
        <w:t>竞争性磋商文件</w:t>
      </w:r>
    </w:p>
    <w:p>
      <w:pPr>
        <w:snapToGrid w:val="0"/>
        <w:jc w:val="center"/>
        <w:rPr>
          <w:rFonts w:eastAsia="黑体"/>
          <w:b/>
          <w:bCs/>
          <w:highlight w:val="none"/>
        </w:rPr>
      </w:pPr>
    </w:p>
    <w:p>
      <w:pPr>
        <w:snapToGrid w:val="0"/>
        <w:rPr>
          <w:rFonts w:eastAsia="黑体"/>
          <w:b/>
          <w:bCs/>
          <w:highlight w:val="none"/>
        </w:rPr>
      </w:pPr>
    </w:p>
    <w:p>
      <w:pPr>
        <w:snapToGrid w:val="0"/>
        <w:jc w:val="center"/>
        <w:rPr>
          <w:rFonts w:eastAsia="黑体"/>
          <w:b/>
          <w:bCs/>
          <w:highlight w:val="none"/>
        </w:rPr>
      </w:pPr>
    </w:p>
    <w:p>
      <w:pPr>
        <w:snapToGrid w:val="0"/>
        <w:spacing w:line="48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val="en-US" w:eastAsia="zh-CN"/>
        </w:rPr>
        <w:t>ZXDC2020C733</w:t>
      </w:r>
    </w:p>
    <w:p>
      <w:pPr>
        <w:snapToGrid w:val="0"/>
        <w:jc w:val="center"/>
        <w:rPr>
          <w:rFonts w:ascii="宋体" w:hAnsi="宋体" w:cs="宋体"/>
          <w:b/>
          <w:bCs/>
          <w:sz w:val="32"/>
          <w:szCs w:val="32"/>
          <w:highlight w:val="none"/>
        </w:rPr>
      </w:pPr>
    </w:p>
    <w:p>
      <w:pPr>
        <w:snapToGrid w:val="0"/>
        <w:jc w:val="center"/>
        <w:rPr>
          <w:rFonts w:ascii="宋体" w:hAnsi="宋体" w:cs="宋体"/>
          <w:b/>
          <w:bCs/>
          <w:sz w:val="32"/>
          <w:szCs w:val="32"/>
          <w:highlight w:val="none"/>
        </w:rPr>
      </w:pPr>
    </w:p>
    <w:p>
      <w:pPr>
        <w:snapToGrid w:val="0"/>
        <w:jc w:val="center"/>
        <w:rPr>
          <w:rFonts w:ascii="宋体" w:hAnsi="宋体" w:cs="宋体"/>
          <w:b/>
          <w:bCs/>
          <w:sz w:val="32"/>
          <w:szCs w:val="32"/>
          <w:highlight w:val="none"/>
        </w:rPr>
      </w:pPr>
    </w:p>
    <w:p>
      <w:pPr>
        <w:snapToGrid w:val="0"/>
        <w:jc w:val="center"/>
        <w:rPr>
          <w:rFonts w:ascii="宋体" w:hAnsi="宋体" w:cs="宋体"/>
          <w:b/>
          <w:bCs/>
          <w:sz w:val="32"/>
          <w:szCs w:val="32"/>
          <w:highlight w:val="none"/>
        </w:rPr>
      </w:pPr>
    </w:p>
    <w:p>
      <w:pPr>
        <w:snapToGrid w:val="0"/>
        <w:jc w:val="center"/>
        <w:rPr>
          <w:rFonts w:ascii="宋体" w:hAnsi="宋体" w:cs="宋体"/>
          <w:b/>
          <w:bCs/>
          <w:sz w:val="32"/>
          <w:szCs w:val="32"/>
          <w:highlight w:val="none"/>
        </w:rPr>
      </w:pPr>
    </w:p>
    <w:p>
      <w:pPr>
        <w:snapToGrid w:val="0"/>
        <w:jc w:val="center"/>
        <w:rPr>
          <w:rFonts w:ascii="宋体" w:hAnsi="宋体" w:cs="宋体"/>
          <w:b/>
          <w:bCs/>
          <w:sz w:val="32"/>
          <w:szCs w:val="32"/>
          <w:highlight w:val="none"/>
        </w:rPr>
      </w:pPr>
    </w:p>
    <w:p>
      <w:pPr>
        <w:snapToGrid w:val="0"/>
        <w:jc w:val="center"/>
        <w:rPr>
          <w:rFonts w:ascii="宋体" w:hAnsi="宋体" w:cs="宋体"/>
          <w:b/>
          <w:bCs/>
          <w:sz w:val="32"/>
          <w:szCs w:val="32"/>
          <w:highlight w:val="none"/>
        </w:rPr>
      </w:pPr>
    </w:p>
    <w:p>
      <w:pPr>
        <w:snapToGrid w:val="0"/>
        <w:jc w:val="both"/>
        <w:rPr>
          <w:rFonts w:ascii="宋体" w:hAnsi="宋体" w:cs="宋体"/>
          <w:b/>
          <w:bCs/>
          <w:sz w:val="32"/>
          <w:szCs w:val="32"/>
          <w:highlight w:val="none"/>
        </w:rPr>
      </w:pPr>
    </w:p>
    <w:p>
      <w:pPr>
        <w:snapToGrid w:val="0"/>
        <w:spacing w:line="500" w:lineRule="exact"/>
        <w:ind w:firstLine="321" w:firstLineChars="100"/>
        <w:jc w:val="left"/>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采   购   人：</w:t>
      </w:r>
      <w:r>
        <w:rPr>
          <w:rFonts w:hint="eastAsia" w:ascii="黑体" w:hAnsi="黑体" w:eastAsia="黑体" w:cs="黑体"/>
          <w:b/>
          <w:bCs w:val="0"/>
          <w:w w:val="90"/>
          <w:sz w:val="32"/>
          <w:szCs w:val="32"/>
          <w:highlight w:val="none"/>
          <w:lang w:eastAsia="zh-CN"/>
        </w:rPr>
        <w:t>哈尔滨工程大学</w:t>
      </w:r>
    </w:p>
    <w:p>
      <w:pPr>
        <w:snapToGrid w:val="0"/>
        <w:spacing w:line="500" w:lineRule="exact"/>
        <w:ind w:firstLine="321" w:firstLineChars="100"/>
        <w:jc w:val="left"/>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采购代理机构：</w:t>
      </w:r>
      <w:r>
        <w:rPr>
          <w:rFonts w:hint="eastAsia" w:ascii="黑体" w:hAnsi="黑体" w:eastAsia="黑体" w:cs="黑体"/>
          <w:b/>
          <w:bCs w:val="0"/>
          <w:w w:val="90"/>
          <w:sz w:val="32"/>
          <w:szCs w:val="32"/>
          <w:highlight w:val="none"/>
          <w:lang w:eastAsia="zh-CN"/>
        </w:rPr>
        <w:t>正信伟业工程咨询管理有限公司</w:t>
      </w:r>
      <w:r>
        <w:rPr>
          <w:rFonts w:hint="eastAsia" w:ascii="黑体" w:hAnsi="黑体" w:eastAsia="黑体" w:cs="黑体"/>
          <w:b/>
          <w:bCs w:val="0"/>
          <w:sz w:val="32"/>
          <w:szCs w:val="32"/>
          <w:highlight w:val="none"/>
          <w:lang w:eastAsia="zh-CN"/>
        </w:rPr>
        <w:t xml:space="preserve"> </w:t>
      </w:r>
      <w:r>
        <w:rPr>
          <w:rFonts w:hint="eastAsia" w:ascii="黑体" w:hAnsi="黑体" w:eastAsia="黑体" w:cs="黑体"/>
          <w:b/>
          <w:bCs w:val="0"/>
          <w:sz w:val="32"/>
          <w:szCs w:val="32"/>
          <w:highlight w:val="none"/>
        </w:rPr>
        <w:t xml:space="preserve"> </w:t>
      </w:r>
    </w:p>
    <w:p>
      <w:pPr>
        <w:snapToGrid w:val="0"/>
        <w:spacing w:line="500" w:lineRule="exact"/>
        <w:ind w:firstLine="321" w:firstLineChars="100"/>
        <w:jc w:val="left"/>
        <w:rPr>
          <w:rFonts w:hint="eastAsia" w:ascii="黑体" w:hAnsi="黑体" w:eastAsia="黑体" w:cs="黑体"/>
          <w:b/>
          <w:bCs w:val="0"/>
          <w:w w:val="90"/>
          <w:sz w:val="32"/>
          <w:szCs w:val="32"/>
          <w:highlight w:val="none"/>
        </w:rPr>
      </w:pPr>
      <w:r>
        <w:rPr>
          <w:rFonts w:hint="eastAsia" w:ascii="黑体" w:hAnsi="黑体" w:eastAsia="黑体" w:cs="黑体"/>
          <w:b/>
          <w:bCs w:val="0"/>
          <w:sz w:val="32"/>
          <w:szCs w:val="32"/>
          <w:highlight w:val="none"/>
        </w:rPr>
        <w:t>代理机构地址：</w:t>
      </w:r>
      <w:r>
        <w:rPr>
          <w:rFonts w:hint="eastAsia" w:ascii="黑体" w:hAnsi="黑体" w:eastAsia="黑体" w:cs="黑体"/>
          <w:b/>
          <w:bCs w:val="0"/>
          <w:w w:val="90"/>
          <w:sz w:val="32"/>
          <w:szCs w:val="32"/>
          <w:highlight w:val="none"/>
        </w:rPr>
        <w:t>哈尔滨市香坊区红旗大街235号投资大厦20层</w:t>
      </w:r>
    </w:p>
    <w:p>
      <w:pPr>
        <w:tabs>
          <w:tab w:val="left" w:pos="1080"/>
        </w:tabs>
        <w:spacing w:line="500" w:lineRule="exact"/>
        <w:ind w:firstLine="321" w:firstLineChars="100"/>
        <w:jc w:val="left"/>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日        期：</w:t>
      </w:r>
      <w:r>
        <w:rPr>
          <w:rFonts w:hint="eastAsia" w:ascii="黑体" w:hAnsi="黑体" w:eastAsia="黑体" w:cs="黑体"/>
          <w:b/>
          <w:bCs w:val="0"/>
          <w:w w:val="90"/>
          <w:sz w:val="32"/>
          <w:szCs w:val="32"/>
          <w:highlight w:val="none"/>
          <w:lang w:eastAsia="zh-CN"/>
        </w:rPr>
        <w:t>二〇</w:t>
      </w:r>
      <w:r>
        <w:rPr>
          <w:rFonts w:hint="eastAsia" w:ascii="黑体" w:hAnsi="黑体" w:eastAsia="黑体" w:cs="黑体"/>
          <w:b/>
          <w:bCs w:val="0"/>
          <w:w w:val="90"/>
          <w:sz w:val="32"/>
          <w:szCs w:val="32"/>
          <w:highlight w:val="none"/>
          <w:lang w:val="en-US" w:eastAsia="zh-CN"/>
        </w:rPr>
        <w:t>二</w:t>
      </w:r>
      <w:r>
        <w:rPr>
          <w:rFonts w:hint="eastAsia" w:ascii="黑体" w:hAnsi="黑体" w:eastAsia="黑体" w:cs="黑体"/>
          <w:b/>
          <w:bCs w:val="0"/>
          <w:w w:val="90"/>
          <w:sz w:val="32"/>
          <w:szCs w:val="32"/>
          <w:highlight w:val="none"/>
          <w:lang w:eastAsia="zh-CN"/>
        </w:rPr>
        <w:t>〇年</w:t>
      </w:r>
      <w:r>
        <w:rPr>
          <w:rFonts w:hint="eastAsia" w:ascii="黑体" w:hAnsi="黑体" w:eastAsia="黑体" w:cs="黑体"/>
          <w:b/>
          <w:bCs w:val="0"/>
          <w:w w:val="90"/>
          <w:sz w:val="32"/>
          <w:szCs w:val="32"/>
          <w:highlight w:val="none"/>
          <w:lang w:val="en-US" w:eastAsia="zh-CN"/>
        </w:rPr>
        <w:t>十一</w:t>
      </w:r>
      <w:r>
        <w:rPr>
          <w:rFonts w:hint="eastAsia" w:ascii="黑体" w:hAnsi="黑体" w:eastAsia="黑体" w:cs="黑体"/>
          <w:b/>
          <w:bCs w:val="0"/>
          <w:w w:val="90"/>
          <w:sz w:val="32"/>
          <w:szCs w:val="32"/>
          <w:highlight w:val="none"/>
          <w:lang w:eastAsia="zh-CN"/>
        </w:rPr>
        <w:t>月</w:t>
      </w:r>
    </w:p>
    <w:p>
      <w:pPr>
        <w:widowControl/>
        <w:spacing w:line="360" w:lineRule="auto"/>
        <w:jc w:val="center"/>
        <w:rPr>
          <w:sz w:val="32"/>
          <w:szCs w:val="32"/>
          <w:highlight w:val="none"/>
        </w:rPr>
        <w:sectPr>
          <w:headerReference r:id="rId4" w:type="first"/>
          <w:headerReference r:id="rId3" w:type="default"/>
          <w:pgSz w:w="11907" w:h="16840"/>
          <w:pgMar w:top="1247" w:right="1474" w:bottom="1247" w:left="1570" w:header="851" w:footer="964" w:gutter="0"/>
          <w:pgNumType w:fmt="decimal"/>
          <w:cols w:space="0" w:num="1"/>
          <w:titlePg/>
          <w:rtlGutter w:val="0"/>
          <w:docGrid w:type="lines" w:linePitch="312" w:charSpace="0"/>
        </w:sectPr>
      </w:pPr>
    </w:p>
    <w:p>
      <w:pPr>
        <w:widowControl/>
        <w:jc w:val="center"/>
        <w:rPr>
          <w:rFonts w:hint="eastAsia" w:ascii="宋体" w:hAnsi="宋体" w:eastAsia="宋体" w:cs="宋体"/>
          <w:sz w:val="36"/>
          <w:szCs w:val="36"/>
          <w:highlight w:val="none"/>
        </w:rPr>
      </w:pPr>
    </w:p>
    <w:p>
      <w:pPr>
        <w:widowControl/>
        <w:jc w:val="center"/>
        <w:rPr>
          <w:rFonts w:hint="eastAsia" w:ascii="黑体" w:hAnsi="黑体" w:eastAsia="黑体" w:cs="黑体"/>
          <w:b/>
          <w:bCs w:val="0"/>
          <w:kern w:val="0"/>
          <w:sz w:val="36"/>
          <w:szCs w:val="36"/>
          <w:highlight w:val="none"/>
        </w:rPr>
      </w:pPr>
      <w:r>
        <w:rPr>
          <w:rFonts w:hint="eastAsia" w:ascii="黑体" w:hAnsi="黑体" w:eastAsia="黑体" w:cs="黑体"/>
          <w:b/>
          <w:bCs w:val="0"/>
          <w:sz w:val="36"/>
          <w:szCs w:val="36"/>
          <w:highlight w:val="none"/>
        </w:rPr>
        <w:t>磋商文件及磋商公告业主确认函件</w:t>
      </w:r>
    </w:p>
    <w:p>
      <w:pPr>
        <w:spacing w:line="360" w:lineRule="auto"/>
        <w:ind w:firstLine="424" w:firstLineChars="200"/>
        <w:jc w:val="left"/>
        <w:rPr>
          <w:rFonts w:hint="eastAsia" w:ascii="宋体" w:hAnsi="宋体" w:eastAsia="宋体" w:cs="宋体"/>
          <w:sz w:val="21"/>
          <w:szCs w:val="21"/>
          <w:highlight w:val="none"/>
        </w:rPr>
      </w:pP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正信伟业工程咨询管理有限公司</w:t>
      </w:r>
      <w:r>
        <w:rPr>
          <w:rFonts w:hint="eastAsia" w:ascii="宋体" w:hAnsi="宋体" w:eastAsia="宋体" w:cs="宋体"/>
          <w:b/>
          <w:sz w:val="24"/>
          <w:szCs w:val="24"/>
          <w:highlight w:val="none"/>
        </w:rPr>
        <w:t>：</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你单位根据哈尔滨工程大学提供的采购方案及有关技术资料编写的关于</w:t>
      </w:r>
      <w:r>
        <w:rPr>
          <w:rFonts w:hint="eastAsia" w:ascii="宋体" w:hAnsi="宋体" w:eastAsia="宋体" w:cs="宋体"/>
          <w:color w:val="000000"/>
          <w:kern w:val="0"/>
          <w:sz w:val="24"/>
          <w:szCs w:val="24"/>
          <w:highlight w:val="none"/>
          <w:lang w:eastAsia="zh-CN"/>
        </w:rPr>
        <w:t>哈尔滨工程大学校园网机房专用空调采购项目（二次）</w:t>
      </w:r>
      <w:r>
        <w:rPr>
          <w:rFonts w:hint="eastAsia" w:ascii="宋体" w:hAnsi="宋体" w:eastAsia="宋体" w:cs="宋体"/>
          <w:color w:val="000000"/>
          <w:kern w:val="0"/>
          <w:sz w:val="24"/>
          <w:szCs w:val="24"/>
          <w:highlight w:val="none"/>
        </w:rPr>
        <w:t>（采购编号：</w:t>
      </w:r>
      <w:r>
        <w:rPr>
          <w:rFonts w:hint="eastAsia" w:ascii="宋体" w:hAnsi="宋体" w:eastAsia="宋体" w:cs="宋体"/>
          <w:color w:val="000000"/>
          <w:kern w:val="0"/>
          <w:sz w:val="24"/>
          <w:szCs w:val="24"/>
          <w:highlight w:val="none"/>
          <w:lang w:eastAsia="zh-CN"/>
        </w:rPr>
        <w:t>ZXDC2020C733</w:t>
      </w:r>
      <w:r>
        <w:rPr>
          <w:rFonts w:hint="eastAsia" w:ascii="宋体" w:hAnsi="宋体" w:eastAsia="宋体" w:cs="宋体"/>
          <w:color w:val="000000"/>
          <w:kern w:val="0"/>
          <w:sz w:val="24"/>
          <w:szCs w:val="24"/>
          <w:highlight w:val="none"/>
        </w:rPr>
        <w:t>）的磋商文件及磋商公告，经我单位有关领导审核，认为符合要求，可以对外发售。</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特此确认!</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单位名称：</w:t>
      </w:r>
    </w:p>
    <w:p>
      <w:pPr>
        <w:spacing w:line="420" w:lineRule="exact"/>
        <w:ind w:firstLine="4240" w:firstLineChars="20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项目负责人签字：</w:t>
      </w:r>
    </w:p>
    <w:p>
      <w:pPr>
        <w:spacing w:line="420" w:lineRule="exact"/>
        <w:ind w:firstLine="424" w:firstLineChars="2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日期：</w:t>
      </w:r>
    </w:p>
    <w:p>
      <w:pPr>
        <w:widowControl/>
        <w:spacing w:line="360" w:lineRule="auto"/>
        <w:jc w:val="center"/>
        <w:rPr>
          <w:rFonts w:hint="eastAsia" w:ascii="宋体" w:hAnsi="宋体" w:eastAsia="宋体" w:cs="宋体"/>
          <w:b/>
          <w:bCs/>
          <w:sz w:val="21"/>
          <w:szCs w:val="21"/>
          <w:highlight w:val="none"/>
        </w:rPr>
        <w:sectPr>
          <w:footerReference r:id="rId7" w:type="first"/>
          <w:headerReference r:id="rId5" w:type="default"/>
          <w:footerReference r:id="rId6" w:type="default"/>
          <w:pgSz w:w="11907" w:h="16840"/>
          <w:pgMar w:top="1089" w:right="1797" w:bottom="935" w:left="1402" w:header="851" w:footer="992" w:gutter="0"/>
          <w:pgNumType w:fmt="decimal" w:start="1"/>
          <w:cols w:space="720" w:num="1"/>
          <w:docGrid w:type="linesAndChars" w:linePitch="312" w:charSpace="489"/>
        </w:sectPr>
      </w:pPr>
    </w:p>
    <w:p>
      <w:pPr>
        <w:pStyle w:val="2"/>
        <w:rPr>
          <w:rFonts w:hint="eastAsia"/>
          <w:highlight w:val="none"/>
        </w:rPr>
      </w:pPr>
    </w:p>
    <w:p>
      <w:pPr>
        <w:widowControl/>
        <w:spacing w:line="360" w:lineRule="auto"/>
        <w:jc w:val="center"/>
        <w:rPr>
          <w:rFonts w:hint="eastAsia" w:ascii="宋体" w:hAnsi="宋体" w:eastAsia="宋体" w:cs="宋体"/>
          <w:sz w:val="36"/>
          <w:szCs w:val="36"/>
          <w:highlight w:val="none"/>
        </w:rPr>
      </w:pPr>
      <w:r>
        <w:rPr>
          <w:rFonts w:hint="eastAsia" w:ascii="宋体" w:hAnsi="宋体" w:eastAsia="宋体" w:cs="宋体"/>
          <w:b/>
          <w:bCs/>
          <w:sz w:val="36"/>
          <w:szCs w:val="36"/>
          <w:highlight w:val="none"/>
        </w:rPr>
        <w:t>目       录</w:t>
      </w:r>
    </w:p>
    <w:p>
      <w:pPr>
        <w:pStyle w:val="15"/>
        <w:tabs>
          <w:tab w:val="right" w:leader="dot" w:pos="8708"/>
        </w:tabs>
        <w:rPr>
          <w:rFonts w:hint="eastAsia" w:ascii="宋体" w:hAnsi="宋体" w:eastAsia="宋体" w:cs="宋体"/>
          <w:sz w:val="21"/>
          <w:szCs w:val="21"/>
          <w:highlight w:val="none"/>
        </w:rPr>
      </w:pPr>
    </w:p>
    <w:sdt>
      <w:sdtPr>
        <w:rPr>
          <w:rFonts w:ascii="宋体" w:hAnsi="宋体" w:eastAsia="宋体" w:cstheme="minorBidi"/>
          <w:kern w:val="2"/>
          <w:sz w:val="21"/>
          <w:szCs w:val="22"/>
          <w:highlight w:val="none"/>
          <w:lang w:val="en-US" w:eastAsia="zh-CN" w:bidi="ar-SA"/>
        </w:rPr>
        <w:id w:val="147483323"/>
        <w15:color w:val="DBDBDB"/>
        <w:docPartObj>
          <w:docPartGallery w:val="Table of Contents"/>
          <w:docPartUnique/>
        </w:docPartObj>
      </w:sdtPr>
      <w:sdtEndPr>
        <w:rPr>
          <w:rFonts w:hint="eastAsia" w:ascii="宋体" w:hAnsi="宋体" w:eastAsia="宋体" w:cs="宋体"/>
          <w:kern w:val="2"/>
          <w:sz w:val="21"/>
          <w:szCs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TOC \o "1-1" \h \u </w:instrText>
          </w:r>
          <w:r>
            <w:rPr>
              <w:rFonts w:hint="eastAsia" w:ascii="宋体" w:hAnsi="宋体" w:eastAsia="宋体" w:cs="宋体"/>
              <w:sz w:val="21"/>
              <w:szCs w:val="21"/>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_Toc4154 </w:instrText>
          </w:r>
          <w:r>
            <w:rPr>
              <w:rFonts w:hint="eastAsia" w:ascii="宋体" w:hAnsi="宋体" w:eastAsia="宋体" w:cs="宋体"/>
              <w:sz w:val="28"/>
              <w:szCs w:val="28"/>
              <w:highlight w:val="none"/>
            </w:rPr>
            <w:fldChar w:fldCharType="separate"/>
          </w:r>
          <w:r>
            <w:rPr>
              <w:rFonts w:hint="eastAsia" w:ascii="宋体" w:hAnsi="宋体" w:eastAsia="宋体" w:cs="宋体"/>
              <w:kern w:val="44"/>
              <w:sz w:val="28"/>
              <w:szCs w:val="28"/>
              <w:highlight w:val="none"/>
            </w:rPr>
            <w:t xml:space="preserve">第一部分 </w:t>
          </w:r>
          <w:r>
            <w:rPr>
              <w:rFonts w:hint="eastAsia" w:ascii="宋体" w:hAnsi="宋体" w:eastAsia="宋体" w:cs="宋体"/>
              <w:kern w:val="44"/>
              <w:sz w:val="28"/>
              <w:szCs w:val="28"/>
              <w:highlight w:val="none"/>
              <w:lang w:val="en-US" w:eastAsia="zh-CN"/>
            </w:rPr>
            <w:t xml:space="preserve"> </w:t>
          </w:r>
          <w:r>
            <w:rPr>
              <w:rFonts w:hint="eastAsia" w:ascii="宋体" w:hAnsi="宋体" w:eastAsia="宋体" w:cs="宋体"/>
              <w:kern w:val="44"/>
              <w:sz w:val="28"/>
              <w:szCs w:val="28"/>
              <w:highlight w:val="none"/>
            </w:rPr>
            <w:t>竞争性磋商</w:t>
          </w:r>
          <w:r>
            <w:rPr>
              <w:rFonts w:hint="eastAsia" w:ascii="宋体" w:hAnsi="宋体" w:eastAsia="宋体" w:cs="宋体"/>
              <w:kern w:val="44"/>
              <w:sz w:val="28"/>
              <w:szCs w:val="28"/>
              <w:highlight w:val="none"/>
              <w:lang w:val="en-US" w:eastAsia="zh-CN"/>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_Toc4154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_Toc14081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第二部分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_Toc14081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_Toc8006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第三部分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eastAsia="zh-CN"/>
            </w:rPr>
            <w:t>采购需求</w:t>
          </w:r>
          <w:r>
            <w:rPr>
              <w:rFonts w:hint="eastAsia" w:ascii="宋体" w:hAnsi="宋体" w:eastAsia="宋体" w:cs="宋体"/>
              <w:bCs/>
              <w:sz w:val="28"/>
              <w:szCs w:val="28"/>
              <w:highlight w:val="none"/>
            </w:rPr>
            <w:t>及技术参数</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_Toc8006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_Toc2460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第四部分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主要合同条款及合同格式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_Toc2460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_Toc30303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第五部分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响应文件格式及附件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_Toc30303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- 24 -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_Toc11573 </w:instrText>
          </w:r>
          <w:r>
            <w:rPr>
              <w:rFonts w:hint="eastAsia" w:ascii="宋体" w:hAnsi="宋体" w:eastAsia="宋体" w:cs="宋体"/>
              <w:sz w:val="28"/>
              <w:szCs w:val="28"/>
              <w:highlight w:val="none"/>
            </w:rPr>
            <w:fldChar w:fldCharType="separate"/>
          </w:r>
          <w:r>
            <w:rPr>
              <w:rFonts w:hint="eastAsia" w:ascii="宋体" w:hAnsi="宋体" w:eastAsia="宋体" w:cs="宋体"/>
              <w:kern w:val="44"/>
              <w:sz w:val="28"/>
              <w:szCs w:val="28"/>
              <w:highlight w:val="none"/>
            </w:rPr>
            <w:t xml:space="preserve">第六部分 </w:t>
          </w:r>
          <w:r>
            <w:rPr>
              <w:rFonts w:hint="eastAsia" w:ascii="宋体" w:hAnsi="宋体" w:eastAsia="宋体" w:cs="宋体"/>
              <w:kern w:val="44"/>
              <w:sz w:val="28"/>
              <w:szCs w:val="28"/>
              <w:highlight w:val="none"/>
              <w:lang w:val="en-US" w:eastAsia="zh-CN"/>
            </w:rPr>
            <w:t xml:space="preserve"> </w:t>
          </w:r>
          <w:r>
            <w:rPr>
              <w:rFonts w:hint="eastAsia" w:ascii="宋体" w:hAnsi="宋体" w:eastAsia="宋体" w:cs="宋体"/>
              <w:kern w:val="44"/>
              <w:sz w:val="28"/>
              <w:szCs w:val="28"/>
              <w:highlight w:val="none"/>
            </w:rPr>
            <w:t>竞争性磋商最后报价书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_Toc11573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highlight w:val="none"/>
            </w:rPr>
          </w:pPr>
          <w:r>
            <w:rPr>
              <w:rFonts w:hint="eastAsia" w:ascii="宋体" w:hAnsi="宋体" w:eastAsia="宋体" w:cs="宋体"/>
              <w:szCs w:val="21"/>
              <w:highlight w:val="none"/>
            </w:rPr>
            <w:fldChar w:fldCharType="end"/>
          </w:r>
        </w:p>
      </w:sdtContent>
    </w:sdt>
    <w:p>
      <w:pPr>
        <w:rPr>
          <w:rFonts w:hint="eastAsia" w:ascii="宋体" w:hAnsi="宋体" w:eastAsia="宋体" w:cs="宋体"/>
          <w:sz w:val="21"/>
          <w:szCs w:val="21"/>
          <w:highlight w:val="none"/>
        </w:rPr>
        <w:sectPr>
          <w:footerReference r:id="rId8" w:type="default"/>
          <w:pgSz w:w="11910" w:h="16840"/>
          <w:pgMar w:top="1417" w:right="1560" w:bottom="1412" w:left="1560" w:header="720" w:footer="720" w:gutter="0"/>
          <w:pgNumType w:fmt="decimal" w:start="1"/>
          <w:cols w:equalWidth="0" w:num="1">
            <w:col w:w="8790"/>
          </w:cols>
          <w:rtlGutter w:val="0"/>
          <w:docGrid w:linePitch="0" w:charSpace="0"/>
        </w:sectPr>
      </w:pPr>
    </w:p>
    <w:p>
      <w:pPr>
        <w:pStyle w:val="2"/>
        <w:rPr>
          <w:rFonts w:hint="eastAsia"/>
          <w:highlight w:val="none"/>
        </w:rPr>
      </w:pPr>
    </w:p>
    <w:p>
      <w:pPr>
        <w:pStyle w:val="2"/>
        <w:jc w:val="center"/>
        <w:outlineLvl w:val="0"/>
        <w:rPr>
          <w:highlight w:val="none"/>
        </w:rPr>
      </w:pPr>
      <w:bookmarkStart w:id="0" w:name="_Toc4154"/>
      <w:r>
        <w:rPr>
          <w:rFonts w:hint="eastAsia" w:ascii="黑体" w:hAnsi="黑体" w:eastAsia="黑体" w:cs="黑体"/>
          <w:b/>
          <w:kern w:val="44"/>
          <w:sz w:val="36"/>
          <w:szCs w:val="36"/>
          <w:highlight w:val="none"/>
        </w:rPr>
        <w:t xml:space="preserve">第一部分 </w:t>
      </w:r>
      <w:bookmarkEnd w:id="0"/>
      <w:bookmarkStart w:id="1" w:name="_Toc25325"/>
      <w:bookmarkStart w:id="2" w:name="_Toc21101"/>
      <w:bookmarkStart w:id="3" w:name="_Toc8291"/>
      <w:r>
        <w:rPr>
          <w:rFonts w:hint="eastAsia" w:ascii="黑体" w:hAnsi="黑体" w:eastAsia="黑体" w:cs="黑体"/>
          <w:b/>
          <w:kern w:val="44"/>
          <w:sz w:val="36"/>
          <w:szCs w:val="36"/>
          <w:highlight w:val="none"/>
        </w:rPr>
        <w:t>竞争性磋商</w:t>
      </w:r>
      <w:r>
        <w:rPr>
          <w:rFonts w:hint="eastAsia" w:ascii="黑体" w:hAnsi="黑体" w:eastAsia="黑体" w:cs="黑体"/>
          <w:b/>
          <w:kern w:val="44"/>
          <w:sz w:val="36"/>
          <w:szCs w:val="36"/>
          <w:highlight w:val="none"/>
          <w:lang w:val="en-US" w:eastAsia="zh-CN"/>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哈尔滨工程大学校园网机房专用空调采购项目（二次）</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本公告第三部分中按规定方式</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lang w:val="en-US" w:eastAsia="zh-CN"/>
        </w:rPr>
        <w:t>2020</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23</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pPr>
        <w:rPr>
          <w:highlight w:val="none"/>
        </w:rPr>
      </w:pPr>
    </w:p>
    <w:p>
      <w:pPr>
        <w:pStyle w:val="6"/>
        <w:spacing w:line="360" w:lineRule="auto"/>
        <w:rPr>
          <w:rFonts w:hint="eastAsia" w:ascii="黑体" w:hAnsi="黑体" w:eastAsia="黑体" w:cs="宋体"/>
          <w:b w:val="0"/>
          <w:sz w:val="28"/>
          <w:szCs w:val="28"/>
          <w:highlight w:val="none"/>
          <w:lang w:eastAsia="zh-CN"/>
        </w:rPr>
      </w:pPr>
      <w:bookmarkStart w:id="4" w:name="_Toc35393798"/>
      <w:bookmarkStart w:id="5" w:name="_Toc35393629"/>
      <w:bookmarkStart w:id="6" w:name="_Toc28359012"/>
      <w:bookmarkStart w:id="7" w:name="_Toc28359089"/>
      <w:r>
        <w:rPr>
          <w:rFonts w:hint="eastAsia" w:ascii="黑体" w:hAnsi="黑体" w:cs="宋体"/>
          <w:b w:val="0"/>
          <w:sz w:val="28"/>
          <w:szCs w:val="28"/>
          <w:highlight w:val="none"/>
        </w:rPr>
        <w:t>一、项目基本情况</w:t>
      </w:r>
      <w:bookmarkEnd w:id="4"/>
      <w:bookmarkEnd w:id="5"/>
      <w:bookmarkEnd w:id="6"/>
      <w:bookmarkEnd w:id="7"/>
      <w:r>
        <w:rPr>
          <w:rFonts w:hint="eastAsia" w:ascii="黑体" w:hAnsi="黑体" w:cs="宋体"/>
          <w:b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ZXDC2020C733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哈尔滨工程大学校园网机房专用空调采购项目（二次）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采购方式：□竞争性谈判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竞争性磋商 □询价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60 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校园网机房专用空调 2 台（包含承重、上下水、原空调拆除等改造）（详见磋商文件）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3142"/>
        <w:gridCol w:w="225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53"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745"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p>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设备名称</w:t>
            </w:r>
          </w:p>
          <w:p>
            <w:pPr>
              <w:pStyle w:val="46"/>
              <w:ind w:left="0" w:leftChars="0" w:right="155" w:firstLine="0" w:firstLineChars="0"/>
              <w:jc w:val="center"/>
              <w:rPr>
                <w:rFonts w:hint="eastAsia" w:ascii="宋体" w:hAnsi="宋体" w:eastAsia="宋体" w:cs="宋体"/>
                <w:sz w:val="21"/>
                <w:szCs w:val="21"/>
                <w:highlight w:val="none"/>
                <w:lang w:val="en-US" w:eastAsia="zh-CN"/>
              </w:rPr>
            </w:pPr>
          </w:p>
        </w:tc>
        <w:tc>
          <w:tcPr>
            <w:tcW w:w="1250"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p>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w:t>
            </w:r>
          </w:p>
          <w:p>
            <w:pPr>
              <w:pStyle w:val="46"/>
              <w:ind w:left="0" w:leftChars="0" w:right="155" w:firstLine="0" w:firstLineChars="0"/>
              <w:jc w:val="center"/>
              <w:rPr>
                <w:rFonts w:hint="eastAsia" w:ascii="宋体" w:hAnsi="宋体" w:eastAsia="宋体" w:cs="宋体"/>
                <w:sz w:val="21"/>
                <w:szCs w:val="21"/>
                <w:highlight w:val="none"/>
                <w:lang w:val="en-US" w:eastAsia="zh-CN"/>
              </w:rPr>
            </w:pPr>
          </w:p>
        </w:tc>
        <w:tc>
          <w:tcPr>
            <w:tcW w:w="1251"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p>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数量</w:t>
            </w:r>
          </w:p>
          <w:p>
            <w:pPr>
              <w:pStyle w:val="46"/>
              <w:ind w:left="0" w:leftChars="0" w:right="155" w:firstLine="0" w:firstLine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53"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45"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p>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校园网机房专用空调 1</w:t>
            </w:r>
          </w:p>
          <w:p>
            <w:pPr>
              <w:pStyle w:val="46"/>
              <w:ind w:left="0" w:leftChars="0" w:right="155" w:firstLine="0" w:firstLineChars="0"/>
              <w:jc w:val="center"/>
              <w:rPr>
                <w:rFonts w:hint="eastAsia" w:ascii="宋体" w:hAnsi="宋体" w:eastAsia="宋体" w:cs="宋体"/>
                <w:sz w:val="21"/>
                <w:szCs w:val="21"/>
                <w:highlight w:val="none"/>
                <w:lang w:val="en-US" w:eastAsia="zh-CN"/>
              </w:rPr>
            </w:pPr>
          </w:p>
        </w:tc>
        <w:tc>
          <w:tcPr>
            <w:tcW w:w="1250"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w:t>
            </w:r>
          </w:p>
        </w:tc>
        <w:tc>
          <w:tcPr>
            <w:tcW w:w="1251"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53"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745"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p>
          <w:p>
            <w:pPr>
              <w:pStyle w:val="46"/>
              <w:ind w:left="0" w:leftChars="0" w:right="155"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校园网机房专用空调 2</w:t>
            </w:r>
          </w:p>
          <w:p>
            <w:pPr>
              <w:pStyle w:val="46"/>
              <w:ind w:left="0" w:leftChars="0" w:right="155" w:firstLine="0" w:firstLineChars="0"/>
              <w:jc w:val="center"/>
              <w:rPr>
                <w:rFonts w:hint="eastAsia" w:ascii="宋体" w:hAnsi="宋体" w:eastAsia="宋体" w:cs="宋体"/>
                <w:sz w:val="21"/>
                <w:szCs w:val="21"/>
                <w:highlight w:val="none"/>
                <w:lang w:val="en-US" w:eastAsia="zh-CN"/>
              </w:rPr>
            </w:pPr>
          </w:p>
        </w:tc>
        <w:tc>
          <w:tcPr>
            <w:tcW w:w="1250"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w:t>
            </w:r>
          </w:p>
        </w:tc>
        <w:tc>
          <w:tcPr>
            <w:tcW w:w="1251" w:type="pct"/>
            <w:vAlign w:val="center"/>
          </w:tcPr>
          <w:p>
            <w:pPr>
              <w:pStyle w:val="46"/>
              <w:ind w:left="0" w:leftChars="0" w:right="155"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bl>
    <w:p>
      <w:pPr>
        <w:pStyle w:val="2"/>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val="en-US" w:eastAsia="zh-CN"/>
        </w:rPr>
        <w:t>签订合同后 60 个工作日内完成交货、安装和调试工作</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接受联合体。</w:t>
      </w:r>
    </w:p>
    <w:p>
      <w:pPr>
        <w:pStyle w:val="6"/>
        <w:spacing w:line="360" w:lineRule="auto"/>
        <w:rPr>
          <w:rFonts w:ascii="黑体" w:hAnsi="黑体" w:cs="宋体"/>
          <w:b w:val="0"/>
          <w:sz w:val="28"/>
          <w:szCs w:val="28"/>
          <w:highlight w:val="none"/>
        </w:rPr>
      </w:pPr>
      <w:bookmarkStart w:id="8" w:name="_Toc28359090"/>
      <w:bookmarkStart w:id="9" w:name="_Toc28359013"/>
      <w:bookmarkStart w:id="10" w:name="_Toc35393630"/>
      <w:bookmarkStart w:id="11" w:name="_Toc35393799"/>
      <w:r>
        <w:rPr>
          <w:rFonts w:hint="eastAsia" w:ascii="黑体" w:hAnsi="黑体" w:cs="宋体"/>
          <w:b w:val="0"/>
          <w:sz w:val="28"/>
          <w:szCs w:val="28"/>
          <w:highlight w:val="none"/>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u w:val="single"/>
          <w:lang w:eastAsia="zh-CN"/>
        </w:rPr>
      </w:pPr>
      <w:bookmarkStart w:id="12" w:name="_Toc28359091"/>
      <w:bookmarkStart w:id="13" w:name="_Toc28359014"/>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u w:val="single"/>
          <w:lang w:eastAsia="zh-CN"/>
        </w:rPr>
        <w:t>无</w:t>
      </w:r>
      <w:r>
        <w:rPr>
          <w:rFonts w:hint="eastAsia" w:ascii="宋体" w:hAnsi="宋体" w:eastAsia="宋体" w:cs="宋体"/>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、拟参加本项目磋商的潜在供应商应具备所投报货物的生产或经销能力；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1）“信用中国”网站（www.creditchina.gov.cn）；</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2）“中国政府采购网”（www.ccgp.gov.cn/cr/list）；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pacing w:val="0"/>
          <w:kern w:val="0"/>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spacing w:val="0"/>
          <w:kern w:val="0"/>
          <w:sz w:val="24"/>
          <w:szCs w:val="24"/>
          <w:highlight w:val="none"/>
          <w:lang w:val="en-US" w:eastAsia="zh-CN" w:bidi="ar-SA"/>
        </w:rPr>
        <w:t>“国家企业信用信息公示系统”（http://www.gsxt.gov.cn/index.html）；</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注：供应商应在响应文件中提供‘没有重</w:t>
      </w:r>
      <w:r>
        <w:rPr>
          <w:rFonts w:hint="eastAsia" w:ascii="宋体" w:hAnsi="宋体" w:eastAsia="宋体" w:cs="宋体"/>
          <w:sz w:val="24"/>
          <w:szCs w:val="24"/>
          <w:highlight w:val="none"/>
          <w:lang w:eastAsia="zh-CN"/>
        </w:rPr>
        <w:t>大违法记录的声明’</w:t>
      </w:r>
      <w:r>
        <w:rPr>
          <w:rFonts w:hint="eastAsia" w:ascii="宋体" w:hAnsi="宋体" w:eastAsia="宋体" w:cs="宋体"/>
          <w:sz w:val="24"/>
          <w:szCs w:val="24"/>
          <w:highlight w:val="none"/>
          <w:lang w:val="en-US" w:eastAsia="zh-CN"/>
        </w:rPr>
        <w:t>；</w:t>
      </w:r>
    </w:p>
    <w:p>
      <w:pPr>
        <w:pStyle w:val="6"/>
        <w:spacing w:line="360" w:lineRule="auto"/>
        <w:rPr>
          <w:rFonts w:hint="eastAsia" w:ascii="黑体" w:hAnsi="黑体" w:eastAsia="黑体" w:cs="宋体"/>
          <w:b w:val="0"/>
          <w:sz w:val="28"/>
          <w:szCs w:val="28"/>
          <w:highlight w:val="none"/>
          <w:lang w:eastAsia="zh-CN"/>
        </w:rPr>
      </w:pPr>
      <w:bookmarkStart w:id="14" w:name="_Toc35393631"/>
      <w:bookmarkStart w:id="15" w:name="_Toc35393800"/>
      <w:r>
        <w:rPr>
          <w:rFonts w:hint="eastAsia" w:ascii="黑体" w:hAnsi="黑体" w:cs="宋体"/>
          <w:b w:val="0"/>
          <w:sz w:val="28"/>
          <w:szCs w:val="28"/>
          <w:highlight w:val="none"/>
        </w:rPr>
        <w:t>三、获取采购文件</w:t>
      </w:r>
      <w:bookmarkEnd w:id="12"/>
      <w:bookmarkEnd w:id="13"/>
      <w:bookmarkEnd w:id="14"/>
      <w:bookmarkEnd w:id="15"/>
      <w:r>
        <w:rPr>
          <w:rFonts w:hint="eastAsia" w:ascii="黑体" w:hAnsi="黑体" w:cs="宋体"/>
          <w:b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时间：本项目因受疫情影响，故采用线上发售标书凡有意参加磋商的供应商，如资格条件符合本项目“申请人的资格要求”并确定参加本次磋商活动，于</w:t>
      </w:r>
      <w:r>
        <w:rPr>
          <w:rFonts w:hint="eastAsia" w:ascii="宋体" w:hAnsi="宋体" w:eastAsia="宋体" w:cs="宋体"/>
          <w:sz w:val="24"/>
          <w:szCs w:val="24"/>
          <w:highlight w:val="none"/>
          <w:u w:val="none"/>
        </w:rPr>
        <w:t>2020年</w:t>
      </w:r>
      <w:r>
        <w:rPr>
          <w:rFonts w:hint="eastAsia" w:ascii="宋体" w:hAnsi="宋体" w:eastAsia="宋体" w:cs="宋体"/>
          <w:sz w:val="24"/>
          <w:szCs w:val="24"/>
          <w:highlight w:val="none"/>
          <w:u w:val="none"/>
          <w:lang w:val="en-US" w:eastAsia="zh-CN"/>
        </w:rPr>
        <w:t>11</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none"/>
          <w:lang w:val="en-US" w:eastAsia="zh-CN"/>
        </w:rPr>
        <w:t>13</w:t>
      </w:r>
      <w:r>
        <w:rPr>
          <w:rFonts w:hint="eastAsia" w:ascii="宋体" w:hAnsi="宋体" w:eastAsia="宋体" w:cs="宋体"/>
          <w:sz w:val="24"/>
          <w:szCs w:val="24"/>
          <w:highlight w:val="none"/>
          <w:u w:val="none"/>
        </w:rPr>
        <w:t>日至2020年</w:t>
      </w:r>
      <w:r>
        <w:rPr>
          <w:rFonts w:hint="eastAsia" w:ascii="宋体" w:hAnsi="宋体" w:eastAsia="宋体" w:cs="宋体"/>
          <w:sz w:val="24"/>
          <w:szCs w:val="24"/>
          <w:highlight w:val="none"/>
          <w:u w:val="none"/>
          <w:lang w:val="en-US" w:eastAsia="zh-CN"/>
        </w:rPr>
        <w:t>11</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none"/>
          <w:lang w:val="en-US" w:eastAsia="zh-CN"/>
        </w:rPr>
        <w:t>19</w:t>
      </w:r>
      <w:r>
        <w:rPr>
          <w:rFonts w:hint="eastAsia" w:ascii="宋体" w:hAnsi="宋体" w:eastAsia="宋体" w:cs="宋体"/>
          <w:sz w:val="24"/>
          <w:szCs w:val="24"/>
          <w:highlight w:val="none"/>
          <w:u w:val="none"/>
        </w:rPr>
        <w:t>日，每天</w:t>
      </w:r>
      <w:r>
        <w:rPr>
          <w:rFonts w:hint="eastAsia" w:ascii="宋体" w:hAnsi="宋体" w:eastAsia="宋体" w:cs="宋体"/>
          <w:sz w:val="24"/>
          <w:szCs w:val="24"/>
          <w:highlight w:val="none"/>
          <w:u w:val="none"/>
          <w:lang w:val="en-US" w:eastAsia="zh-CN"/>
        </w:rPr>
        <w:t>08：30至11：00，下午13：30至16：30</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北京时间，法定节假日除外）获取由代理机构提供电子版本磋商文件，逾期不予受理</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eastAsia="zh-CN"/>
        </w:rPr>
      </w:pPr>
      <w:bookmarkStart w:id="16" w:name="_Toc35393632"/>
      <w:bookmarkStart w:id="17" w:name="_Toc35393801"/>
      <w:bookmarkStart w:id="18" w:name="_Toc28359092"/>
      <w:bookmarkStart w:id="19" w:name="_Toc28359015"/>
      <w:r>
        <w:rPr>
          <w:rFonts w:hint="eastAsia" w:ascii="宋体" w:hAnsi="宋体" w:eastAsia="宋体" w:cs="宋体"/>
          <w:sz w:val="24"/>
          <w:szCs w:val="24"/>
          <w:highlight w:val="none"/>
        </w:rPr>
        <w:t>标书费汇款信息及账户</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户名：正信伟业工程咨询管理有限公司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开户行：上海浦东发展银行哈尔滨分行营业部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账号：65010155100001712</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递交方式：从供应商企业基本账户进行转账的形式交纳。</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注：汇款时需备注</w:t>
      </w:r>
      <w:r>
        <w:rPr>
          <w:rFonts w:hint="eastAsia" w:ascii="宋体" w:hAnsi="宋体" w:eastAsia="宋体" w:cs="宋体"/>
          <w:sz w:val="24"/>
          <w:szCs w:val="24"/>
          <w:highlight w:val="none"/>
          <w:lang w:eastAsia="zh-CN"/>
        </w:rPr>
        <w:t>“哈尔滨工程大学校园网机房专用空调采购项目（二次）</w:t>
      </w:r>
      <w:r>
        <w:rPr>
          <w:rFonts w:hint="eastAsia" w:ascii="宋体" w:hAnsi="宋体" w:eastAsia="宋体" w:cs="宋体"/>
          <w:sz w:val="24"/>
          <w:szCs w:val="24"/>
          <w:highlight w:val="none"/>
        </w:rPr>
        <w:t>标书费</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方式：线上发售</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售价：500元/本。</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请符合本项目资格条件的潜在供应商在前款规定的采购文件获取期限内将“①本项目的项目名称、②潜在供应商单位名称（全称）、③联系人、④联系电话（手机）、⑤磋商文件费网上汇款成功截图”等准确信息，一并发送至邮箱zxwyzb7@163.com。</w:t>
      </w:r>
    </w:p>
    <w:p>
      <w:pPr>
        <w:pStyle w:val="2"/>
        <w:rPr>
          <w:rFonts w:hint="eastAsia"/>
          <w:highlight w:val="none"/>
        </w:rPr>
      </w:pPr>
    </w:p>
    <w:p>
      <w:pPr>
        <w:pStyle w:val="6"/>
        <w:spacing w:line="360" w:lineRule="auto"/>
        <w:rPr>
          <w:rFonts w:hint="eastAsia" w:ascii="黑体" w:hAnsi="黑体" w:eastAsia="黑体" w:cs="宋体"/>
          <w:b w:val="0"/>
          <w:sz w:val="28"/>
          <w:szCs w:val="28"/>
          <w:highlight w:val="none"/>
          <w:lang w:eastAsia="zh-CN"/>
        </w:rPr>
      </w:pPr>
      <w:r>
        <w:rPr>
          <w:rFonts w:hint="eastAsia" w:ascii="黑体" w:hAnsi="黑体" w:cs="宋体"/>
          <w:b w:val="0"/>
          <w:sz w:val="28"/>
          <w:szCs w:val="28"/>
          <w:highlight w:val="none"/>
        </w:rPr>
        <w:t>四、响应文件提交</w:t>
      </w:r>
      <w:bookmarkEnd w:id="16"/>
      <w:bookmarkEnd w:id="17"/>
      <w:bookmarkEnd w:id="18"/>
      <w:bookmarkEnd w:id="19"/>
      <w:r>
        <w:rPr>
          <w:rFonts w:hint="eastAsia" w:ascii="黑体" w:hAnsi="黑体" w:cs="宋体"/>
          <w:b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u w:val="single"/>
          <w:lang w:val="en-US" w:eastAsia="zh-CN"/>
        </w:rPr>
        <w:t>2020</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23</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点：</w:t>
      </w:r>
      <w:r>
        <w:rPr>
          <w:rFonts w:hint="eastAsia" w:ascii="宋体" w:hAnsi="宋体" w:eastAsia="宋体" w:cs="宋体"/>
          <w:sz w:val="24"/>
          <w:szCs w:val="24"/>
          <w:highlight w:val="none"/>
          <w:u w:val="single"/>
        </w:rPr>
        <w:t>正信伟业工程咨询管理有限公司开标大厅（黑龙江省哈尔滨市香坊区红旗大街235号投资大厦17层A座）</w:t>
      </w:r>
    </w:p>
    <w:p>
      <w:pPr>
        <w:pStyle w:val="6"/>
        <w:spacing w:line="360" w:lineRule="auto"/>
        <w:rPr>
          <w:rFonts w:hint="eastAsia" w:ascii="黑体" w:hAnsi="黑体" w:eastAsia="黑体" w:cs="宋体"/>
          <w:b w:val="0"/>
          <w:sz w:val="28"/>
          <w:szCs w:val="28"/>
          <w:highlight w:val="none"/>
          <w:lang w:eastAsia="zh-CN"/>
        </w:rPr>
      </w:pPr>
      <w:bookmarkStart w:id="20" w:name="_Toc28359093"/>
      <w:bookmarkStart w:id="21" w:name="_Toc35393802"/>
      <w:bookmarkStart w:id="22" w:name="_Toc28359016"/>
      <w:bookmarkStart w:id="23" w:name="_Toc35393633"/>
      <w:r>
        <w:rPr>
          <w:rFonts w:hint="eastAsia" w:ascii="黑体" w:hAnsi="黑体" w:cs="宋体"/>
          <w:b w:val="0"/>
          <w:sz w:val="28"/>
          <w:szCs w:val="28"/>
          <w:highlight w:val="none"/>
        </w:rPr>
        <w:t>五、开启</w:t>
      </w:r>
      <w:bookmarkEnd w:id="20"/>
      <w:bookmarkEnd w:id="21"/>
      <w:bookmarkEnd w:id="22"/>
      <w:bookmarkEnd w:id="23"/>
      <w:r>
        <w:rPr>
          <w:rFonts w:hint="eastAsia" w:ascii="黑体" w:hAnsi="黑体" w:cs="宋体"/>
          <w:b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2020</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23</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正信伟业工程咨询管理有限公司开标大厅（黑龙江省哈尔滨市香坊区红旗大街235号投资大厦17层A座）</w:t>
      </w:r>
    </w:p>
    <w:p>
      <w:pPr>
        <w:pStyle w:val="6"/>
        <w:spacing w:line="360" w:lineRule="auto"/>
        <w:rPr>
          <w:rFonts w:hint="eastAsia" w:ascii="黑体" w:hAnsi="黑体" w:eastAsia="黑体" w:cs="宋体"/>
          <w:b w:val="0"/>
          <w:sz w:val="28"/>
          <w:szCs w:val="28"/>
          <w:highlight w:val="none"/>
          <w:lang w:eastAsia="zh-CN"/>
        </w:rPr>
      </w:pPr>
      <w:bookmarkStart w:id="24" w:name="_Toc35393803"/>
      <w:bookmarkStart w:id="25" w:name="_Toc35393634"/>
      <w:bookmarkStart w:id="26" w:name="_Toc28359094"/>
      <w:bookmarkStart w:id="27" w:name="_Toc28359017"/>
      <w:r>
        <w:rPr>
          <w:rFonts w:hint="eastAsia" w:ascii="黑体" w:hAnsi="黑体" w:cs="宋体"/>
          <w:b w:val="0"/>
          <w:sz w:val="28"/>
          <w:szCs w:val="28"/>
          <w:highlight w:val="none"/>
        </w:rPr>
        <w:t>六、公告期限</w:t>
      </w:r>
      <w:bookmarkEnd w:id="24"/>
      <w:bookmarkEnd w:id="25"/>
      <w:bookmarkEnd w:id="26"/>
      <w:bookmarkEnd w:id="27"/>
      <w:r>
        <w:rPr>
          <w:rFonts w:hint="eastAsia" w:ascii="黑体" w:hAnsi="黑体" w:cs="宋体"/>
          <w:b w:val="0"/>
          <w:sz w:val="28"/>
          <w:szCs w:val="28"/>
          <w:highlight w:val="none"/>
          <w:lang w:eastAsia="zh-CN"/>
        </w:rPr>
        <w:t>：</w:t>
      </w:r>
    </w:p>
    <w:p>
      <w:pPr>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2020年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日至2020年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日。</w:t>
      </w:r>
    </w:p>
    <w:p>
      <w:pPr>
        <w:pStyle w:val="6"/>
        <w:numPr>
          <w:ilvl w:val="0"/>
          <w:numId w:val="1"/>
        </w:numPr>
        <w:spacing w:line="360" w:lineRule="auto"/>
        <w:rPr>
          <w:rFonts w:hint="eastAsia" w:ascii="黑体" w:hAnsi="黑体" w:cs="宋体"/>
          <w:b w:val="0"/>
          <w:sz w:val="28"/>
          <w:szCs w:val="28"/>
          <w:highlight w:val="none"/>
          <w:lang w:eastAsia="zh-CN"/>
        </w:rPr>
      </w:pPr>
      <w:bookmarkStart w:id="28" w:name="_Toc35393804"/>
      <w:bookmarkStart w:id="29" w:name="_Toc35393635"/>
      <w:r>
        <w:rPr>
          <w:rFonts w:hint="eastAsia" w:ascii="黑体" w:hAnsi="黑体" w:cs="宋体"/>
          <w:b w:val="0"/>
          <w:sz w:val="28"/>
          <w:szCs w:val="28"/>
          <w:highlight w:val="none"/>
        </w:rPr>
        <w:t>其他补充事宜</w:t>
      </w:r>
      <w:bookmarkEnd w:id="28"/>
      <w:bookmarkEnd w:id="29"/>
      <w:r>
        <w:rPr>
          <w:rFonts w:hint="eastAsia" w:ascii="黑体" w:hAnsi="黑体" w:cs="宋体"/>
          <w:b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交货地点：哈尔滨工程大学</w:t>
      </w:r>
      <w:r>
        <w:rPr>
          <w:rFonts w:hint="eastAsia" w:ascii="宋体" w:hAnsi="宋体" w:eastAsia="宋体" w:cs="宋体"/>
          <w:sz w:val="24"/>
          <w:szCs w:val="24"/>
          <w:highlight w:val="none"/>
          <w:lang w:val="en-US" w:eastAsia="zh-CN"/>
        </w:rPr>
        <w:t>逸夫馆校园网机房</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.踏勘现场：采购人统一组织踏勘，踏勘时间为2020年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日14：00时，哈尔滨工程大学逸夫楼</w:t>
      </w:r>
      <w:r>
        <w:rPr>
          <w:rFonts w:hint="eastAsia" w:ascii="宋体" w:hAnsi="宋体" w:eastAsia="宋体" w:cs="宋体"/>
          <w:sz w:val="24"/>
          <w:szCs w:val="24"/>
          <w:highlight w:val="none"/>
          <w:lang w:eastAsia="zh-CN"/>
        </w:rPr>
        <w:t>门口</w:t>
      </w:r>
      <w:r>
        <w:rPr>
          <w:rFonts w:hint="eastAsia" w:ascii="宋体" w:hAnsi="宋体" w:eastAsia="宋体" w:cs="宋体"/>
          <w:sz w:val="24"/>
          <w:szCs w:val="24"/>
          <w:highlight w:val="none"/>
        </w:rPr>
        <w:t>集合，过期不候，</w:t>
      </w:r>
      <w:r>
        <w:rPr>
          <w:rFonts w:hint="eastAsia" w:ascii="宋体" w:hAnsi="宋体" w:eastAsia="宋体" w:cs="宋体"/>
          <w:sz w:val="24"/>
          <w:szCs w:val="24"/>
          <w:highlight w:val="none"/>
          <w:lang w:eastAsia="zh-CN"/>
        </w:rPr>
        <w:t>在本项目一次磋商时已完成踏勘的供应商，本次磋商可自行决定是否再次踏勘；</w:t>
      </w:r>
      <w:r>
        <w:rPr>
          <w:rFonts w:hint="eastAsia" w:ascii="宋体" w:hAnsi="宋体" w:eastAsia="宋体" w:cs="宋体"/>
          <w:sz w:val="24"/>
          <w:szCs w:val="24"/>
          <w:highlight w:val="none"/>
        </w:rPr>
        <w:t>踏勘要求详见磋商文件。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磋商代表须持本人身份证原件及法定代表人授权书（若法人作为磋商代表仅需身份证原件）亲自递交响应文件，否则拒收响应文件。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.在疫情结束前：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（2）请供应商代表提前到达采购代理机构配合相关防疫登记检查。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（3）参加本项目磋商的供应商人员建议为供应商代表1人，到场人员需自备口罩等防护工具，做好个人防护。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（4）因疫情防控情况尚不明确，若无法正常进行磋商，则时间另行通知。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b w:val="0"/>
          <w:sz w:val="24"/>
          <w:szCs w:val="24"/>
          <w:highlight w:val="none"/>
          <w:lang w:eastAsia="zh-CN"/>
        </w:rPr>
      </w:pPr>
      <w:r>
        <w:rPr>
          <w:rFonts w:hint="eastAsia" w:ascii="宋体" w:hAnsi="宋体" w:eastAsia="宋体" w:cs="宋体"/>
          <w:sz w:val="24"/>
          <w:szCs w:val="24"/>
          <w:highlight w:val="none"/>
        </w:rPr>
        <w:t>（5）请供应商自行关注国家、黑龙江省、哈尔滨市相关疫情防控要求。</w:t>
      </w:r>
    </w:p>
    <w:p>
      <w:pPr>
        <w:rPr>
          <w:highlight w:val="none"/>
        </w:rPr>
      </w:pPr>
    </w:p>
    <w:p>
      <w:pPr>
        <w:pStyle w:val="6"/>
        <w:spacing w:line="360" w:lineRule="auto"/>
        <w:rPr>
          <w:rFonts w:hint="eastAsia" w:ascii="黑体" w:hAnsi="黑体" w:eastAsia="黑体" w:cs="宋体"/>
          <w:b w:val="0"/>
          <w:sz w:val="28"/>
          <w:szCs w:val="28"/>
          <w:highlight w:val="none"/>
          <w:lang w:eastAsia="zh-CN"/>
        </w:rPr>
      </w:pPr>
      <w:bookmarkStart w:id="30" w:name="_Toc28359018"/>
      <w:bookmarkStart w:id="31" w:name="_Toc35393636"/>
      <w:bookmarkStart w:id="32" w:name="_Toc35393805"/>
      <w:bookmarkStart w:id="33" w:name="_Toc28359095"/>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30"/>
      <w:bookmarkEnd w:id="31"/>
      <w:bookmarkEnd w:id="32"/>
      <w:bookmarkEnd w:id="33"/>
      <w:r>
        <w:rPr>
          <w:rFonts w:hint="eastAsia" w:ascii="黑体" w:hAnsi="黑体" w:cs="宋体"/>
          <w:b w:val="0"/>
          <w:sz w:val="28"/>
          <w:szCs w:val="28"/>
          <w:highlight w:val="none"/>
          <w:lang w:eastAsia="zh-CN"/>
        </w:rPr>
        <w:t>：</w:t>
      </w:r>
    </w:p>
    <w:p>
      <w:pPr>
        <w:pStyle w:val="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sz w:val="24"/>
          <w:szCs w:val="24"/>
          <w:highlight w:val="none"/>
        </w:rPr>
      </w:pPr>
      <w:bookmarkStart w:id="34" w:name="_Toc35393806"/>
      <w:bookmarkStart w:id="35" w:name="_Toc35393637"/>
      <w:bookmarkStart w:id="36" w:name="_Toc28359096"/>
      <w:bookmarkStart w:id="37" w:name="_Toc28359019"/>
      <w:r>
        <w:rPr>
          <w:rFonts w:hint="eastAsia" w:ascii="宋体" w:hAnsi="宋体" w:eastAsia="宋体" w:cs="宋体"/>
          <w:b w:val="0"/>
          <w:sz w:val="24"/>
          <w:szCs w:val="24"/>
          <w:highlight w:val="none"/>
        </w:rPr>
        <w:t>1.采购人信息</w:t>
      </w:r>
      <w:bookmarkEnd w:id="34"/>
      <w:bookmarkEnd w:id="35"/>
      <w:bookmarkEnd w:id="36"/>
      <w:bookmarkEnd w:id="37"/>
    </w:p>
    <w:p>
      <w:pPr>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哈尔滨工程大学</w:t>
      </w:r>
      <w:r>
        <w:rPr>
          <w:rFonts w:hint="eastAsia" w:ascii="宋体" w:hAnsi="宋体" w:eastAsia="宋体" w:cs="宋体"/>
          <w:sz w:val="24"/>
          <w:szCs w:val="24"/>
          <w:highlight w:val="none"/>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哈尔滨市南岗区南通大街145号</w:t>
      </w:r>
    </w:p>
    <w:p>
      <w:pPr>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0451-8251986</w:t>
      </w:r>
      <w:r>
        <w:rPr>
          <w:rFonts w:hint="eastAsia" w:ascii="宋体" w:hAnsi="宋体" w:eastAsia="宋体" w:cs="宋体"/>
          <w:sz w:val="24"/>
          <w:szCs w:val="24"/>
          <w:highlight w:val="none"/>
          <w:u w:val="single"/>
          <w:lang w:val="en-US" w:eastAsia="zh-CN"/>
        </w:rPr>
        <w:t xml:space="preserve">2 </w:t>
      </w:r>
    </w:p>
    <w:p>
      <w:pPr>
        <w:pStyle w:val="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sz w:val="24"/>
          <w:szCs w:val="24"/>
          <w:highlight w:val="none"/>
        </w:rPr>
      </w:pPr>
      <w:bookmarkStart w:id="38" w:name="_Toc28359020"/>
      <w:bookmarkStart w:id="39" w:name="_Toc35393807"/>
      <w:bookmarkStart w:id="40" w:name="_Toc35393638"/>
      <w:bookmarkStart w:id="41" w:name="_Toc28359097"/>
      <w:r>
        <w:rPr>
          <w:rFonts w:hint="eastAsia" w:ascii="宋体" w:hAnsi="宋体" w:eastAsia="宋体" w:cs="宋体"/>
          <w:b w:val="0"/>
          <w:sz w:val="24"/>
          <w:szCs w:val="24"/>
          <w:highlight w:val="none"/>
        </w:rPr>
        <w:t>2.采购代理机构信息</w:t>
      </w:r>
      <w:bookmarkEnd w:id="38"/>
      <w:bookmarkEnd w:id="39"/>
      <w:bookmarkEnd w:id="40"/>
      <w:bookmarkEnd w:id="41"/>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正信伟业工程咨询管理有限公司</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黑龙江省哈尔滨市香坊区红旗大街235号投资大厦20层</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0451-82362805</w:t>
      </w:r>
      <w:r>
        <w:rPr>
          <w:rFonts w:hint="eastAsia" w:ascii="宋体" w:hAnsi="宋体" w:eastAsia="宋体" w:cs="宋体"/>
          <w:sz w:val="24"/>
          <w:szCs w:val="24"/>
          <w:highlight w:val="none"/>
          <w:u w:val="single"/>
          <w:lang w:val="en-US" w:eastAsia="zh-CN"/>
        </w:rPr>
        <w:t xml:space="preserve"> </w:t>
      </w:r>
    </w:p>
    <w:p>
      <w:pPr>
        <w:pStyle w:val="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sz w:val="24"/>
          <w:szCs w:val="24"/>
          <w:highlight w:val="none"/>
        </w:rPr>
      </w:pPr>
      <w:bookmarkStart w:id="42" w:name="_Toc35393639"/>
      <w:bookmarkStart w:id="43" w:name="_Toc28359021"/>
      <w:bookmarkStart w:id="44" w:name="_Toc28359098"/>
      <w:bookmarkStart w:id="45" w:name="_Toc35393808"/>
      <w:r>
        <w:rPr>
          <w:rFonts w:hint="eastAsia" w:ascii="宋体" w:hAnsi="宋体" w:eastAsia="宋体" w:cs="宋体"/>
          <w:b w:val="0"/>
          <w:sz w:val="24"/>
          <w:szCs w:val="24"/>
          <w:highlight w:val="none"/>
        </w:rPr>
        <w:t>3.项目联系方式</w:t>
      </w:r>
      <w:bookmarkEnd w:id="42"/>
      <w:bookmarkEnd w:id="43"/>
      <w:bookmarkEnd w:id="44"/>
      <w:bookmarkEnd w:id="45"/>
    </w:p>
    <w:p>
      <w:pPr>
        <w:pStyle w:val="1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u w:val="single"/>
          <w:lang w:eastAsia="zh-CN"/>
        </w:rPr>
        <w:t>许女士</w:t>
      </w:r>
      <w:r>
        <w:rPr>
          <w:rFonts w:hint="eastAsia" w:hAnsi="宋体" w:eastAsia="宋体" w:cs="宋体"/>
          <w:sz w:val="24"/>
          <w:szCs w:val="24"/>
          <w:highlight w:val="none"/>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u w:val="single"/>
          <w:lang w:val="en-US"/>
        </w:rPr>
      </w:pPr>
      <w:r>
        <w:rPr>
          <w:rFonts w:hint="eastAsia" w:ascii="宋体" w:hAnsi="宋体" w:eastAsia="宋体" w:cs="宋体"/>
          <w:sz w:val="24"/>
          <w:szCs w:val="24"/>
          <w:highlight w:val="none"/>
        </w:rPr>
        <w:t xml:space="preserve">电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话：</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451-82362805</w:t>
      </w:r>
      <w:r>
        <w:rPr>
          <w:rFonts w:hint="eastAsia" w:ascii="宋体" w:hAnsi="宋体" w:eastAsia="宋体" w:cs="宋体"/>
          <w:sz w:val="24"/>
          <w:szCs w:val="24"/>
          <w:highlight w:val="none"/>
          <w:u w:val="single"/>
          <w:lang w:val="en-US" w:eastAsia="zh-CN"/>
        </w:rPr>
        <w:t>-8089</w:t>
      </w:r>
    </w:p>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u w:val="single"/>
          <w:lang w:val="en-US"/>
        </w:rPr>
      </w:pPr>
    </w:p>
    <w:bookmarkEnd w:id="1"/>
    <w:bookmarkEnd w:id="2"/>
    <w:bookmarkEnd w:id="3"/>
    <w:p>
      <w:pPr>
        <w:keepNext w:val="0"/>
        <w:keepLines w:val="0"/>
        <w:pageBreakBefore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b/>
          <w:bCs/>
          <w:sz w:val="30"/>
          <w:szCs w:val="30"/>
          <w:highlight w:val="none"/>
        </w:rPr>
      </w:pPr>
      <w:r>
        <w:rPr>
          <w:rFonts w:hint="eastAsia" w:ascii="宋体" w:hAnsi="宋体" w:eastAsia="宋体" w:cs="宋体"/>
          <w:sz w:val="21"/>
          <w:szCs w:val="21"/>
          <w:highlight w:val="none"/>
        </w:rPr>
        <w:br w:type="page"/>
      </w:r>
      <w:bookmarkStart w:id="46" w:name="_Toc13810"/>
    </w:p>
    <w:p>
      <w:pPr>
        <w:keepNext/>
        <w:keepLines/>
        <w:widowControl/>
        <w:tabs>
          <w:tab w:val="left" w:pos="720"/>
        </w:tabs>
        <w:spacing w:before="120" w:after="120" w:line="360" w:lineRule="auto"/>
        <w:jc w:val="center"/>
        <w:outlineLvl w:val="0"/>
        <w:rPr>
          <w:rFonts w:hint="eastAsia" w:ascii="黑体" w:hAnsi="黑体" w:eastAsia="黑体" w:cs="黑体"/>
          <w:b/>
          <w:bCs/>
          <w:sz w:val="36"/>
          <w:szCs w:val="36"/>
          <w:highlight w:val="none"/>
        </w:rPr>
      </w:pPr>
      <w:bookmarkStart w:id="47" w:name="_Toc14081"/>
      <w:r>
        <w:rPr>
          <w:rFonts w:hint="eastAsia" w:ascii="黑体" w:hAnsi="黑体" w:eastAsia="黑体" w:cs="黑体"/>
          <w:b/>
          <w:bCs/>
          <w:sz w:val="36"/>
          <w:szCs w:val="36"/>
          <w:highlight w:val="none"/>
        </w:rPr>
        <w:t>第二部分  供应商须知</w:t>
      </w:r>
      <w:bookmarkEnd w:id="46"/>
      <w:bookmarkEnd w:id="47"/>
    </w:p>
    <w:p>
      <w:pPr>
        <w:snapToGrid w:val="0"/>
        <w:spacing w:line="360" w:lineRule="auto"/>
        <w:ind w:left="600"/>
        <w:jc w:val="center"/>
        <w:rPr>
          <w:rFonts w:hint="eastAsia" w:ascii="宋体" w:hAnsi="宋体" w:eastAsia="宋体" w:cs="宋体"/>
          <w:sz w:val="21"/>
          <w:szCs w:val="21"/>
          <w:highlight w:val="none"/>
        </w:rPr>
      </w:pPr>
    </w:p>
    <w:p>
      <w:pPr>
        <w:pStyle w:val="7"/>
        <w:widowControl/>
        <w:rPr>
          <w:rFonts w:hint="eastAsia" w:ascii="黑体" w:hAnsi="黑体" w:eastAsia="黑体" w:cs="黑体"/>
          <w:sz w:val="28"/>
          <w:szCs w:val="28"/>
          <w:highlight w:val="none"/>
        </w:rPr>
      </w:pPr>
      <w:r>
        <w:rPr>
          <w:rFonts w:hint="eastAsia" w:ascii="黑体" w:hAnsi="黑体" w:eastAsia="黑体" w:cs="黑体"/>
          <w:sz w:val="28"/>
          <w:szCs w:val="28"/>
          <w:highlight w:val="none"/>
        </w:rPr>
        <w:t>A说  明</w:t>
      </w:r>
    </w:p>
    <w:p>
      <w:pPr>
        <w:snapToGrid w:val="0"/>
        <w:ind w:left="600"/>
        <w:jc w:val="center"/>
        <w:rPr>
          <w:rFonts w:hint="eastAsia" w:ascii="宋体" w:hAnsi="宋体" w:eastAsia="宋体" w:cs="宋体"/>
          <w:sz w:val="21"/>
          <w:szCs w:val="21"/>
          <w:highlight w:val="none"/>
        </w:rPr>
      </w:pP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一、委托</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如参加磋商的代表不是法定代表人，须持有《法定代表人授权书》（统一格式）。</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二、费用</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1.无论磋商过程中的作法和结果如何，参加磋商的供应商自行承担所有参加磋商有关的全部费用。</w:t>
      </w:r>
    </w:p>
    <w:p>
      <w:pPr>
        <w:snapToGrid w:val="0"/>
        <w:spacing w:line="360" w:lineRule="auto"/>
        <w:ind w:firstLine="420" w:firstLineChars="200"/>
        <w:rPr>
          <w:rFonts w:ascii="宋体" w:hAnsi="宋体" w:cs="宋体"/>
          <w:szCs w:val="21"/>
          <w:highlight w:val="none"/>
        </w:rPr>
      </w:pPr>
      <w:bookmarkStart w:id="48" w:name="_Toc865"/>
      <w:r>
        <w:rPr>
          <w:rFonts w:hint="eastAsia" w:ascii="宋体" w:hAnsi="宋体" w:cs="宋体"/>
          <w:szCs w:val="21"/>
          <w:highlight w:val="none"/>
        </w:rPr>
        <w:t>2</w:t>
      </w:r>
      <w:r>
        <w:rPr>
          <w:rFonts w:hint="eastAsia" w:ascii="宋体" w:hAnsi="宋体" w:cs="宋体"/>
          <w:szCs w:val="21"/>
          <w:highlight w:val="none"/>
          <w:lang w:val="en-US" w:eastAsia="zh-CN"/>
        </w:rPr>
        <w:t>.本次磋商代理服务费参照</w:t>
      </w:r>
      <w:r>
        <w:rPr>
          <w:rFonts w:hint="eastAsia" w:ascii="宋体" w:hAnsi="宋体" w:cs="宋体"/>
          <w:szCs w:val="21"/>
          <w:highlight w:val="none"/>
        </w:rPr>
        <w:t>执行《招标代理服务收费管理暂行办法》（计价格[2002]1980号）及《关于招标代理服务费收费有关问题的通知》（发改办价格[2003]857号），</w:t>
      </w:r>
      <w:r>
        <w:rPr>
          <w:rFonts w:hint="eastAsia" w:ascii="宋体" w:hAnsi="宋体" w:cs="宋体"/>
          <w:szCs w:val="21"/>
          <w:highlight w:val="none"/>
          <w:lang w:val="en-US" w:eastAsia="zh-CN"/>
        </w:rPr>
        <w:t>全额计取，由</w:t>
      </w:r>
      <w:r>
        <w:rPr>
          <w:rFonts w:hint="eastAsia" w:ascii="宋体" w:hAnsi="宋体" w:cs="宋体"/>
          <w:szCs w:val="21"/>
          <w:highlight w:val="none"/>
        </w:rPr>
        <w:t>成交供应商支付。</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三、竞争性磋商文件的解释</w:t>
      </w:r>
      <w:bookmarkEnd w:id="48"/>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本竞争性磋商文件各条款由</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负责解释。</w:t>
      </w:r>
    </w:p>
    <w:p>
      <w:pPr>
        <w:snapToGrid w:val="0"/>
        <w:spacing w:line="360" w:lineRule="auto"/>
        <w:ind w:firstLine="420" w:firstLineChars="200"/>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28"/>
          <w:szCs w:val="28"/>
          <w:highlight w:val="none"/>
        </w:rPr>
      </w:pPr>
      <w:bookmarkStart w:id="49" w:name="_Toc467141130"/>
      <w:bookmarkStart w:id="50" w:name="_Toc466302627"/>
      <w:r>
        <w:rPr>
          <w:rFonts w:hint="eastAsia" w:ascii="黑体" w:hAnsi="黑体" w:eastAsia="黑体" w:cs="黑体"/>
          <w:b/>
          <w:bCs/>
          <w:sz w:val="28"/>
          <w:szCs w:val="28"/>
          <w:highlight w:val="none"/>
        </w:rPr>
        <w:t>B  磋商文件</w:t>
      </w:r>
      <w:bookmarkEnd w:id="49"/>
      <w:bookmarkEnd w:id="50"/>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四、竞争性磋商文件的构成</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竞争性磋商文件（以下简称磋商文件）由下列文件及在磋商过程中发出的更正和补充文件组成：</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第一部分  竞争性磋商公告</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第二部分  供应商须知</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第三部分  </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及技术参数</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第四部分  主要合同条款及合同格式（参照执行）</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第五部分  响应文件格式及附件</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w:t>
      </w:r>
      <w:r>
        <w:rPr>
          <w:rFonts w:hint="eastAsia" w:asciiTheme="minorEastAsia" w:hAnsiTheme="minorEastAsia" w:eastAsiaTheme="minorEastAsia" w:cstheme="minorEastAsia"/>
          <w:sz w:val="21"/>
          <w:szCs w:val="21"/>
          <w:highlight w:val="none"/>
          <w:lang w:val="en-US" w:eastAsia="zh-CN"/>
        </w:rPr>
        <w:t>六</w:t>
      </w:r>
      <w:r>
        <w:rPr>
          <w:rFonts w:hint="eastAsia" w:asciiTheme="minorEastAsia" w:hAnsiTheme="minorEastAsia" w:eastAsiaTheme="minorEastAsia" w:cstheme="minorEastAsia"/>
          <w:sz w:val="21"/>
          <w:szCs w:val="21"/>
          <w:highlight w:val="none"/>
        </w:rPr>
        <w:t xml:space="preserve">部分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竞争性磋商最后报价书</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五、磋商文件的澄清和修改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1.在磋商截止时间</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日前，代理机构可对磋商文件进行澄清或修改，在中国政府采购网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发布更正公告，并以书面形式通知所有成功获取磋商文件的供应商。该澄清或修改的内容为磋商文件的组成部分。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代理机构可根据实际情况，适当延长磋商响应文件递交截止时间和磋商开始时间。但至少应当在磋商文件要求提交响应文件的截止时间三日前，将变更时间通知所有成功获取磋商文件的供应商，并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六、质疑提起与受理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1.供应商认为磋商文件、采购过程和成交结果使自己的权益受到损害时，可以向采购代理机构提出询问或质疑，且需提供相关举证材料，逾期提出无效。</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2.询问和质疑的提出与处理应依据政府采购相关规定办理。</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七、投诉</w:t>
      </w:r>
    </w:p>
    <w:p>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质疑供应商对采购代理机构的答复不满意，或者采购代理机构未在规定期限内作出答复的，可以在答复期满后15个工作日内向同级政府采购监督管理部门提起投诉。</w:t>
      </w:r>
    </w:p>
    <w:p>
      <w:pPr>
        <w:snapToGrid w:val="0"/>
        <w:spacing w:line="360" w:lineRule="auto"/>
        <w:ind w:firstLine="562" w:firstLineChars="200"/>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C、响应文件</w:t>
      </w:r>
    </w:p>
    <w:p>
      <w:pPr>
        <w:snapToGrid w:val="0"/>
        <w:spacing w:line="360" w:lineRule="auto"/>
        <w:ind w:firstLine="480" w:firstLineChars="200"/>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八</w:t>
      </w:r>
      <w:r>
        <w:rPr>
          <w:rFonts w:hint="eastAsia" w:ascii="宋体" w:hAnsi="宋体" w:eastAsia="宋体" w:cs="宋体"/>
          <w:b/>
          <w:sz w:val="24"/>
          <w:szCs w:val="24"/>
          <w:highlight w:val="none"/>
        </w:rPr>
        <w:t>、响应文件计量单位</w:t>
      </w:r>
    </w:p>
    <w:p>
      <w:pPr>
        <w:snapToGrid w:val="0"/>
        <w:spacing w:line="360" w:lineRule="auto"/>
        <w:ind w:firstLine="420"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响应文件中所使用的计量单位，除有特殊要求外，应采用国家法定计量单位，报价最小单位为人民币元。</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九</w:t>
      </w:r>
      <w:r>
        <w:rPr>
          <w:rFonts w:hint="eastAsia" w:ascii="宋体" w:hAnsi="宋体" w:eastAsia="宋体" w:cs="宋体"/>
          <w:b/>
          <w:sz w:val="24"/>
          <w:szCs w:val="24"/>
          <w:highlight w:val="none"/>
        </w:rPr>
        <w:t>、响应文件的组成</w:t>
      </w:r>
    </w:p>
    <w:p>
      <w:pPr>
        <w:pStyle w:val="6"/>
        <w:spacing w:before="0" w:after="0"/>
        <w:rPr>
          <w:rFonts w:hint="eastAsia" w:ascii="宋体" w:hAnsi="宋体" w:eastAsia="宋体" w:cs="宋体"/>
          <w:sz w:val="21"/>
          <w:szCs w:val="21"/>
          <w:highlight w:val="none"/>
        </w:rPr>
      </w:pPr>
      <w:bookmarkStart w:id="51" w:name="_Toc10738"/>
      <w:bookmarkStart w:id="52" w:name="_Toc24533"/>
      <w:bookmarkStart w:id="53" w:name="_Toc5598"/>
      <w:bookmarkStart w:id="54" w:name="_Toc11855"/>
      <w:r>
        <w:rPr>
          <w:rFonts w:hint="eastAsia" w:ascii="宋体" w:hAnsi="宋体" w:eastAsia="宋体" w:cs="宋体"/>
          <w:b w:val="0"/>
          <w:bCs/>
          <w:sz w:val="21"/>
          <w:szCs w:val="21"/>
          <w:highlight w:val="none"/>
        </w:rPr>
        <w:t>（一）响应文件（统一格式）包括：</w:t>
      </w:r>
      <w:bookmarkEnd w:id="51"/>
      <w:bookmarkEnd w:id="52"/>
      <w:bookmarkEnd w:id="53"/>
      <w:bookmarkEnd w:id="54"/>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1、法定代表人授权书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2、响应书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3、资格证明文件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4、法定代表人和授权代表身份证明</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5、响应文件附件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6、技术偏离表</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（二）资格证明及其他文件包括:</w:t>
      </w:r>
    </w:p>
    <w:p>
      <w:pPr>
        <w:pStyle w:val="15"/>
        <w:tabs>
          <w:tab w:val="right" w:leader="dot" w:pos="8779"/>
        </w:tabs>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    ★1、营业执照副本</w:t>
      </w:r>
      <w:r>
        <w:rPr>
          <w:rFonts w:hint="eastAsia" w:ascii="宋体" w:hAnsi="宋体" w:eastAsia="宋体" w:cs="宋体"/>
          <w:color w:val="auto"/>
          <w:kern w:val="0"/>
          <w:sz w:val="21"/>
          <w:szCs w:val="21"/>
          <w:highlight w:val="none"/>
        </w:rPr>
        <w:t>（复印件加盖公章）</w:t>
      </w:r>
      <w:r>
        <w:rPr>
          <w:rFonts w:hint="eastAsia" w:ascii="宋体" w:hAnsi="宋体" w:eastAsia="宋体" w:cs="宋体"/>
          <w:sz w:val="21"/>
          <w:szCs w:val="21"/>
          <w:highlight w:val="none"/>
          <w:lang w:eastAsia="zh-CN"/>
        </w:rPr>
        <w:t>；</w:t>
      </w:r>
    </w:p>
    <w:p>
      <w:pPr>
        <w:pStyle w:val="15"/>
        <w:tabs>
          <w:tab w:val="right" w:leader="dot" w:pos="8779"/>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银行基本账户开户许可证明</w:t>
      </w:r>
      <w:r>
        <w:rPr>
          <w:rFonts w:hint="eastAsia" w:ascii="宋体" w:hAnsi="宋体" w:eastAsia="宋体" w:cs="宋体"/>
          <w:color w:val="auto"/>
          <w:kern w:val="0"/>
          <w:sz w:val="21"/>
          <w:szCs w:val="21"/>
          <w:highlight w:val="none"/>
        </w:rPr>
        <w:t>（复印件加盖公章）</w:t>
      </w:r>
      <w:r>
        <w:rPr>
          <w:rFonts w:hint="eastAsia" w:ascii="宋体" w:hAnsi="宋体" w:eastAsia="宋体" w:cs="宋体"/>
          <w:sz w:val="21"/>
          <w:szCs w:val="21"/>
          <w:highlight w:val="none"/>
        </w:rPr>
        <w:t>；</w:t>
      </w:r>
    </w:p>
    <w:p>
      <w:pPr>
        <w:pStyle w:val="15"/>
        <w:tabs>
          <w:tab w:val="right" w:leader="dot" w:pos="8779"/>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、法定代表人授权书(法定代表人签字并加盖公章)</w:t>
      </w:r>
      <w:r>
        <w:rPr>
          <w:rFonts w:hint="eastAsia" w:ascii="宋体" w:hAnsi="宋体" w:eastAsia="宋体" w:cs="宋体"/>
          <w:sz w:val="21"/>
          <w:szCs w:val="21"/>
          <w:highlight w:val="none"/>
          <w:lang w:eastAsia="zh-CN"/>
        </w:rPr>
        <w:t>；</w:t>
      </w:r>
    </w:p>
    <w:p>
      <w:pPr>
        <w:pStyle w:val="15"/>
        <w:tabs>
          <w:tab w:val="right" w:leader="dot" w:pos="8779"/>
        </w:tabs>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pStyle w:val="15"/>
        <w:tabs>
          <w:tab w:val="right" w:leader="dot" w:pos="8779"/>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1）“信用中国”网站（www.creditchina.gov.cn）；</w:t>
      </w:r>
    </w:p>
    <w:p>
      <w:pPr>
        <w:pStyle w:val="15"/>
        <w:tabs>
          <w:tab w:val="right" w:leader="dot" w:pos="8779"/>
        </w:tabs>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zh-TW" w:eastAsia="zh-TW"/>
        </w:rPr>
        <w:t>中国政府采购网”（www.ccgp.gov.cn/cr/list）</w:t>
      </w:r>
      <w:r>
        <w:rPr>
          <w:rFonts w:hint="eastAsia" w:ascii="宋体" w:hAnsi="宋体" w:cs="宋体"/>
          <w:szCs w:val="21"/>
          <w:highlight w:val="none"/>
          <w:lang w:val="zh-TW"/>
        </w:rPr>
        <w:t>；</w:t>
      </w:r>
    </w:p>
    <w:p>
      <w:pPr>
        <w:pStyle w:val="15"/>
        <w:tabs>
          <w:tab w:val="right" w:leader="dot" w:pos="8779"/>
        </w:tabs>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lang w:val="zh-TW"/>
        </w:rPr>
        <w:t>3）“国家企业信用信息公示系统”（</w:t>
      </w:r>
      <w:r>
        <w:rPr>
          <w:rFonts w:hint="eastAsia" w:ascii="宋体" w:hAnsi="宋体" w:cs="宋体"/>
          <w:szCs w:val="21"/>
          <w:highlight w:val="none"/>
          <w:lang w:val="zh-TW" w:eastAsia="zh-CN"/>
        </w:rPr>
        <w:t>http://www.gsxt.gov.cn/index.html）</w:t>
      </w:r>
      <w:r>
        <w:rPr>
          <w:rFonts w:hint="eastAsia" w:ascii="宋体" w:hAnsi="宋体" w:cs="宋体"/>
          <w:szCs w:val="21"/>
          <w:highlight w:val="none"/>
          <w:lang w:val="zh-TW"/>
        </w:rPr>
        <w:t>；</w:t>
      </w:r>
    </w:p>
    <w:p>
      <w:pPr>
        <w:pStyle w:val="15"/>
        <w:tabs>
          <w:tab w:val="right" w:leader="dot" w:pos="8779"/>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zh-TW"/>
        </w:rPr>
        <w:t>注：供应商在响应文中提供</w:t>
      </w:r>
      <w:r>
        <w:rPr>
          <w:rFonts w:hint="eastAsia" w:ascii="宋体" w:hAnsi="宋体" w:cs="宋体"/>
          <w:szCs w:val="21"/>
          <w:highlight w:val="none"/>
          <w:lang w:val="zh-TW" w:eastAsia="zh-CN"/>
        </w:rPr>
        <w:t>“</w:t>
      </w:r>
      <w:r>
        <w:rPr>
          <w:rFonts w:hint="eastAsia" w:ascii="宋体" w:hAnsi="宋体" w:cs="宋体"/>
          <w:szCs w:val="21"/>
          <w:highlight w:val="none"/>
          <w:lang w:val="zh-TW"/>
        </w:rPr>
        <w:t>没有重大违法记录的声明</w:t>
      </w:r>
      <w:r>
        <w:rPr>
          <w:rFonts w:hint="eastAsia" w:ascii="宋体" w:hAnsi="宋体" w:cs="宋体"/>
          <w:szCs w:val="21"/>
          <w:highlight w:val="none"/>
          <w:lang w:val="zh-TW" w:eastAsia="zh-CN"/>
        </w:rPr>
        <w:t>”。</w:t>
      </w:r>
    </w:p>
    <w:p>
      <w:pPr>
        <w:pStyle w:val="15"/>
        <w:tabs>
          <w:tab w:val="right" w:leader="dot" w:pos="8779"/>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、小微企业声明函（响应供应商为小微企业且所投产品为小微企业生产，提供声明函的享受政府采购优惠）。</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(1)上述条件之一不满足者，将被视为其资格审查不合格，不得进入下一步的评审程序。</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(2)为保持评审工作的连续性，磋商小组对审查结果不作结论外任何解释和澄清。</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(3)供应商所报材料应真实有效并附相关佐证材料，在磋商时响应文件中装订原件</w:t>
      </w:r>
      <w:r>
        <w:rPr>
          <w:rFonts w:hint="eastAsia" w:ascii="宋体" w:hAnsi="宋体" w:eastAsia="宋体" w:cs="宋体"/>
          <w:kern w:val="0"/>
          <w:sz w:val="21"/>
          <w:szCs w:val="21"/>
          <w:highlight w:val="none"/>
          <w:lang w:eastAsia="zh-CN"/>
        </w:rPr>
        <w:t>或</w:t>
      </w:r>
      <w:r>
        <w:rPr>
          <w:rFonts w:hint="eastAsia" w:ascii="宋体" w:hAnsi="宋体" w:eastAsia="宋体" w:cs="宋体"/>
          <w:kern w:val="0"/>
          <w:sz w:val="21"/>
          <w:szCs w:val="21"/>
          <w:highlight w:val="none"/>
        </w:rPr>
        <w:t>扫描件或复印件（加盖单位公章），否则其响应文件将被否决。</w:t>
      </w:r>
    </w:p>
    <w:p>
      <w:pPr>
        <w:widowControl/>
        <w:snapToGrid w:val="0"/>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(4)供应商必须携带以上“资格证明及其他文件”中与响应文件书面材料一致的全部复印件</w:t>
      </w:r>
      <w:r>
        <w:rPr>
          <w:rFonts w:hint="eastAsia" w:ascii="宋体" w:hAnsi="宋体" w:eastAsia="宋体" w:cs="宋体"/>
          <w:color w:val="auto"/>
          <w:kern w:val="0"/>
          <w:sz w:val="21"/>
          <w:szCs w:val="21"/>
          <w:highlight w:val="none"/>
        </w:rPr>
        <w:t>（复印件加盖公章）。</w:t>
      </w:r>
    </w:p>
    <w:p>
      <w:pPr>
        <w:widowControl/>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十、响应文件附件的编制及编目</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1、报价书附件由供应商自行编制，规格幅面应与正文一致，附于正文之后，与正文页码统一编目编码并将响应文件进行胶装。</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2、报价书附件必须包含以下内容：</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（1）产品主要技术参数明细表及报价表；</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（2）技术服务和售后服务的内容及措施。</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3、报价书附件可以包含以下内容：</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(1)产品详细说明书（包括产品主要技术数据和性能的详细描述或提供产品样本）；</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(2)产品制造、验收标准；</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(3)详细的交货清单；</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(4)特殊工具及备件清单；</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(5)供应商推荐的供选择的配套货物表；</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(6)提供报价所有辅助性材（资）料。</w:t>
      </w: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、报价</w:t>
      </w:r>
    </w:p>
    <w:p>
      <w:pPr>
        <w:snapToGrid w:val="0"/>
        <w:spacing w:line="360" w:lineRule="auto"/>
        <w:ind w:firstLine="457" w:firstLineChars="21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1、所有价格均以人民币报价</w:t>
      </w:r>
      <w:r>
        <w:rPr>
          <w:rFonts w:hint="eastAsia" w:ascii="宋体" w:hAnsi="宋体" w:eastAsia="宋体" w:cs="宋体"/>
          <w:sz w:val="21"/>
          <w:szCs w:val="21"/>
          <w:highlight w:val="none"/>
          <w:lang w:val="en-US" w:eastAsia="zh-CN"/>
        </w:rPr>
        <w:t>。</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2、磋商报价分两次(特殊情况除外)，即初始报价（供应商递交的响应文件中的报价）及磋商结束后的最后报价（该报价将做为最后的成交价格）。</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3、具备初始报价,方有资格做第二次报价。</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4、最低报价不能作为成交的唯一保证。</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5、如供应商未按规定要求和时间递交最后报价，该供应商提交的磋商响应文件中的初始报价将作为其最后报价。</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6、超出预算金额的最后报价无效。</w:t>
      </w:r>
    </w:p>
    <w:p>
      <w:pPr>
        <w:widowControl/>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、响应文件的签署及规定</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（一）组成响应文件的各项资料均遵守本条规定；</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（二）响应文件应按规范格式编制、填写，并按要求签字、加盖公章；</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（三）响应文件应装订成册，统一编制页码且页码连续；</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（四）响应文件的正本必须用不退色的墨水填写或打印，注明“正本”字样。副本可以用复印件；（正本壹份、副本肆份）</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（五）响应文件不得涂改和增删，如有修改错漏处，必须同一签署人签字并加盖公章；</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（六）响应文件因字迹潦草或表达不清所引起的后果由供应商自行负责；</w:t>
      </w:r>
    </w:p>
    <w:p>
      <w:pPr>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（七）法人代表授权书应由法定代表人签字并加盖公章</w:t>
      </w:r>
      <w:r>
        <w:rPr>
          <w:rFonts w:hint="eastAsia" w:ascii="宋体" w:hAnsi="宋体" w:eastAsia="宋体" w:cs="宋体"/>
          <w:sz w:val="21"/>
          <w:szCs w:val="21"/>
          <w:highlight w:val="none"/>
          <w:lang w:eastAsia="zh-CN"/>
        </w:rPr>
        <w:t>；</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）供应商应将全部</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文件密封在一个密封袋中，密封袋封口处加盖单位公章或密封章，并在包封上标明如下标记：</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（1）供应商名称；</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（3）采购编号；</w:t>
      </w:r>
    </w:p>
    <w:p>
      <w:pPr>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时启封</w:t>
      </w:r>
      <w:r>
        <w:rPr>
          <w:rFonts w:hint="eastAsia" w:ascii="宋体" w:hAnsi="宋体" w:eastAsia="宋体" w:cs="宋体"/>
          <w:sz w:val="21"/>
          <w:szCs w:val="21"/>
          <w:highlight w:val="none"/>
          <w:lang w:eastAsia="zh-CN"/>
        </w:rPr>
        <w:t>；</w:t>
      </w:r>
    </w:p>
    <w:p>
      <w:pPr>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九</w:t>
      </w:r>
      <w:r>
        <w:rPr>
          <w:rFonts w:hint="eastAsia" w:ascii="宋体" w:hAnsi="宋体" w:eastAsia="宋体" w:cs="宋体"/>
          <w:sz w:val="21"/>
          <w:szCs w:val="21"/>
          <w:highlight w:val="none"/>
        </w:rPr>
        <w:t>）因密封不合格而导致的</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文件的遗失或提前启封后果由供应商负责</w:t>
      </w:r>
      <w:r>
        <w:rPr>
          <w:rFonts w:hint="eastAsia" w:ascii="宋体" w:hAnsi="宋体" w:eastAsia="宋体" w:cs="宋体"/>
          <w:sz w:val="21"/>
          <w:szCs w:val="21"/>
          <w:highlight w:val="none"/>
          <w:lang w:eastAsia="zh-CN"/>
        </w:rPr>
        <w:t>；</w:t>
      </w:r>
    </w:p>
    <w:p>
      <w:pPr>
        <w:spacing w:line="360" w:lineRule="auto"/>
        <w:ind w:firstLine="460" w:firstLineChars="218"/>
        <w:rPr>
          <w:rFonts w:hint="eastAsia"/>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十</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磋商</w:t>
      </w:r>
      <w:r>
        <w:rPr>
          <w:rFonts w:hint="eastAsia" w:ascii="宋体" w:hAnsi="宋体" w:eastAsia="宋体" w:cs="宋体"/>
          <w:b/>
          <w:bCs/>
          <w:sz w:val="21"/>
          <w:szCs w:val="21"/>
          <w:highlight w:val="none"/>
        </w:rPr>
        <w:t>文件必须胶装，严禁用活页装订，否则其</w:t>
      </w:r>
      <w:r>
        <w:rPr>
          <w:rFonts w:hint="eastAsia" w:ascii="宋体" w:hAnsi="宋体" w:eastAsia="宋体" w:cs="宋体"/>
          <w:b/>
          <w:bCs/>
          <w:sz w:val="21"/>
          <w:szCs w:val="21"/>
          <w:highlight w:val="none"/>
          <w:lang w:val="en-US" w:eastAsia="zh-CN"/>
        </w:rPr>
        <w:t>磋商</w:t>
      </w:r>
      <w:r>
        <w:rPr>
          <w:rFonts w:hint="eastAsia" w:ascii="宋体" w:hAnsi="宋体" w:eastAsia="宋体" w:cs="宋体"/>
          <w:b/>
          <w:bCs/>
          <w:sz w:val="21"/>
          <w:szCs w:val="21"/>
          <w:highlight w:val="none"/>
        </w:rPr>
        <w:t>文件将被拒绝</w:t>
      </w:r>
      <w:r>
        <w:rPr>
          <w:rFonts w:hint="eastAsia" w:ascii="宋体" w:hAnsi="宋体" w:eastAsia="宋体" w:cs="宋体"/>
          <w:b/>
          <w:bCs/>
          <w:sz w:val="21"/>
          <w:szCs w:val="21"/>
          <w:highlight w:val="none"/>
          <w:lang w:eastAsia="zh-CN"/>
        </w:rPr>
        <w:t>；</w:t>
      </w:r>
    </w:p>
    <w:p>
      <w:pPr>
        <w:snapToGrid w:val="0"/>
        <w:spacing w:line="360" w:lineRule="auto"/>
        <w:rPr>
          <w:rFonts w:hint="eastAsia" w:ascii="宋体" w:hAnsi="宋体" w:eastAsia="宋体" w:cs="宋体"/>
          <w:b/>
          <w:bCs/>
          <w:color w:val="000000"/>
          <w:sz w:val="24"/>
          <w:szCs w:val="24"/>
          <w:highlight w:val="none"/>
          <w:lang w:val="zh-CN"/>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lang w:val="zh-CN"/>
        </w:rPr>
        <w:t>技术参数条款出现下列情况之一条款的，响应文件无效：</w:t>
      </w:r>
    </w:p>
    <w:p>
      <w:pPr>
        <w:autoSpaceDE w:val="0"/>
        <w:autoSpaceDN w:val="0"/>
        <w:adjustRightInd w:val="0"/>
        <w:spacing w:line="360" w:lineRule="auto"/>
        <w:ind w:firstLine="525"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1、供应商提报的技术参数中须明确品牌、型号、规格、配置等，否则响应文件将被否决；</w:t>
      </w:r>
    </w:p>
    <w:p>
      <w:pPr>
        <w:autoSpaceDE w:val="0"/>
        <w:autoSpaceDN w:val="0"/>
        <w:adjustRightInd w:val="0"/>
        <w:spacing w:line="360" w:lineRule="auto"/>
        <w:ind w:firstLine="525"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2、经磋商小组认定供应商未按实际技术参数作应答，而是完全复制竞争性磋商文件技术要求相关内容作为其技术参数一部分的，响应文件无效；</w:t>
      </w:r>
    </w:p>
    <w:p>
      <w:pPr>
        <w:autoSpaceDE w:val="0"/>
        <w:autoSpaceDN w:val="0"/>
        <w:adjustRightInd w:val="0"/>
        <w:spacing w:line="360" w:lineRule="auto"/>
        <w:ind w:firstLine="525"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3、供应商所提报的技术参数应如实填写，并按“竞争性磋商文件技术要求”逐项应答，如简单填写“响应或完全响应”的，响应文件无效。</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zh-CN"/>
        </w:rPr>
        <w:t>十四、</w:t>
      </w:r>
      <w:r>
        <w:rPr>
          <w:rFonts w:hint="eastAsia" w:ascii="宋体" w:hAnsi="宋体" w:eastAsia="宋体" w:cs="宋体"/>
          <w:b/>
          <w:spacing w:val="-2"/>
          <w:sz w:val="24"/>
          <w:szCs w:val="24"/>
          <w:highlight w:val="none"/>
        </w:rPr>
        <w:t>供应商出现下列情况之一的响应文件无效</w:t>
      </w:r>
      <w:r>
        <w:rPr>
          <w:rFonts w:hint="eastAsia" w:ascii="宋体" w:hAnsi="宋体" w:eastAsia="宋体" w:cs="宋体"/>
          <w:b/>
          <w:sz w:val="24"/>
          <w:szCs w:val="24"/>
          <w:highlight w:val="none"/>
        </w:rPr>
        <w:t>：</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任一条★号条款如偏离，</w:t>
      </w:r>
      <w:r>
        <w:rPr>
          <w:rFonts w:hint="eastAsia" w:ascii="宋体" w:hAnsi="宋体" w:eastAsia="宋体" w:cs="宋体"/>
          <w:sz w:val="21"/>
          <w:szCs w:val="21"/>
          <w:highlight w:val="none"/>
          <w:lang w:val="en-US" w:eastAsia="zh-CN"/>
        </w:rPr>
        <w:t>则</w:t>
      </w:r>
      <w:r>
        <w:rPr>
          <w:rFonts w:hint="eastAsia" w:ascii="宋体" w:hAnsi="宋体" w:eastAsia="宋体" w:cs="宋体"/>
          <w:sz w:val="21"/>
          <w:szCs w:val="21"/>
          <w:highlight w:val="none"/>
          <w:lang w:val="zh-CN"/>
        </w:rPr>
        <w:t>响应文件无效；</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rPr>
        <w:t>非</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条款有重大偏离经评审专家认定无法满足竞争性磋商文件需求的</w:t>
      </w:r>
      <w:r>
        <w:rPr>
          <w:rFonts w:hint="eastAsia" w:ascii="宋体" w:hAnsi="宋体" w:eastAsia="宋体" w:cs="宋体"/>
          <w:sz w:val="21"/>
          <w:szCs w:val="21"/>
          <w:highlight w:val="none"/>
        </w:rPr>
        <w:t>；</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、超出经营范围的；</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、未按要求签字、盖章的；</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、提供虚假材料的；（提供虚假材料进行报价、应答的，还将移交监管部门依法处理）</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、技术参数与所提供的技术证明文件不一致的；</w:t>
      </w:r>
    </w:p>
    <w:p>
      <w:pPr>
        <w:pStyle w:val="31"/>
        <w:spacing w:line="360" w:lineRule="auto"/>
        <w:ind w:firstLine="472" w:firstLineChars="225"/>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rPr>
        <w:t>、所报项目在实际运行中，其使用成本过高、使用条件苛刻(需经磋商小组确定)不能被采购人接受的；</w:t>
      </w:r>
    </w:p>
    <w:p>
      <w:pPr>
        <w:pStyle w:val="31"/>
        <w:spacing w:line="360" w:lineRule="auto"/>
        <w:ind w:firstLine="472" w:firstLineChars="225"/>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rPr>
        <w:t>、法定代表人授权书无法定代表人签字或没有加盖公章的；</w:t>
      </w:r>
    </w:p>
    <w:p>
      <w:pPr>
        <w:pStyle w:val="31"/>
        <w:spacing w:line="360" w:lineRule="auto"/>
        <w:ind w:firstLine="472" w:firstLineChars="225"/>
        <w:rPr>
          <w:rFonts w:hint="eastAsia" w:ascii="宋体" w:hAnsi="宋体" w:eastAsia="宋体" w:cs="宋体"/>
          <w:spacing w:val="-20"/>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参加政府采购活动前三年内（即提交竞争性磋商首次响应文件截止时间前三年内）有重大违法失信记录的；</w:t>
      </w:r>
    </w:p>
    <w:p>
      <w:pPr>
        <w:pStyle w:val="31"/>
        <w:spacing w:line="360" w:lineRule="auto"/>
        <w:ind w:firstLine="472" w:firstLineChars="225"/>
        <w:rPr>
          <w:rFonts w:hint="eastAsia" w:ascii="宋体" w:hAnsi="宋体" w:eastAsia="宋体" w:cs="宋体"/>
          <w:spacing w:val="-20"/>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rPr>
        <w:t>供应商</w:t>
      </w:r>
      <w:r>
        <w:rPr>
          <w:rFonts w:hint="eastAsia" w:ascii="宋体" w:hAnsi="宋体" w:eastAsia="宋体" w:cs="宋体"/>
          <w:sz w:val="21"/>
          <w:szCs w:val="21"/>
          <w:highlight w:val="none"/>
        </w:rPr>
        <w:t>对采购人、采购代理机构、磋商小组及其工作人员施加影响，有碍评审公平、公正的；</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lang w:val="zh-CN"/>
        </w:rPr>
        <w:t>1</w:t>
      </w:r>
      <w:r>
        <w:rPr>
          <w:rFonts w:hint="eastAsia" w:ascii="宋体" w:hAnsi="宋体" w:cs="宋体"/>
          <w:bCs/>
          <w:color w:val="000000"/>
          <w:sz w:val="21"/>
          <w:szCs w:val="21"/>
          <w:highlight w:val="none"/>
          <w:lang w:val="en-US" w:eastAsia="zh-CN"/>
        </w:rPr>
        <w:t>1</w:t>
      </w:r>
      <w:r>
        <w:rPr>
          <w:rFonts w:hint="eastAsia" w:ascii="宋体" w:hAnsi="宋体" w:eastAsia="宋体" w:cs="宋体"/>
          <w:bCs/>
          <w:color w:val="000000"/>
          <w:sz w:val="21"/>
          <w:szCs w:val="21"/>
          <w:highlight w:val="none"/>
          <w:lang w:val="zh-CN"/>
        </w:rPr>
        <w:t>、</w:t>
      </w:r>
      <w:r>
        <w:rPr>
          <w:rFonts w:hint="eastAsia" w:ascii="宋体" w:hAnsi="宋体" w:eastAsia="宋体" w:cs="宋体"/>
          <w:sz w:val="21"/>
          <w:szCs w:val="21"/>
          <w:highlight w:val="none"/>
        </w:rPr>
        <w:t>磋商小组认为，排在前面的入围候选供应商的报价明显不合理或者低于成本，有可能影响商品质量和不能诚信履约的，应当要求该供应商作出书面说明并提供相关证明材料，否则，磋商小组可以取消该供应商的成交候选资格，按顺序由排在后面的成交候选供应商递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、供应商提供的企业资质证书、从业人员资格证书、认证证书等信息必须与公开信息一致，在公开信息中查询不到或不一致的，供应商应在响应文件中提供发证机构出具的证明函，未提供证明函的响应文件无效。</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、按有关法律、法规、规章规定属于响应文件无效的。</w:t>
      </w:r>
    </w:p>
    <w:p>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磋商小组在评审过程中，应以供应商提供的响应文件为评审依据，不得接受响应文件以外的任何形式的文件资料。</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、磋商文件中规定的其他情况。</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、供应商禁止行为</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（1）供应商在提交响应文件截止时间后撤回响应文件；</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（2）成交供应商在评审结果产生后放弃成交；</w:t>
      </w:r>
    </w:p>
    <w:p>
      <w:pPr>
        <w:spacing w:line="360" w:lineRule="auto"/>
        <w:ind w:left="420"/>
        <w:rPr>
          <w:rFonts w:hint="eastAsia" w:ascii="宋体" w:hAnsi="宋体" w:eastAsia="宋体" w:cs="宋体"/>
          <w:color w:val="FF6600"/>
          <w:sz w:val="21"/>
          <w:szCs w:val="21"/>
          <w:highlight w:val="none"/>
        </w:rPr>
      </w:pPr>
      <w:r>
        <w:rPr>
          <w:rFonts w:hint="eastAsia" w:ascii="宋体" w:hAnsi="宋体" w:eastAsia="宋体" w:cs="宋体"/>
          <w:sz w:val="21"/>
          <w:szCs w:val="21"/>
          <w:highlight w:val="none"/>
        </w:rPr>
        <w:t>（3）成交供应商在规定的时限内不签订采购合同。</w:t>
      </w:r>
    </w:p>
    <w:p>
      <w:pPr>
        <w:snapToGrid w:val="0"/>
        <w:spacing w:line="360" w:lineRule="auto"/>
        <w:rPr>
          <w:rFonts w:hint="eastAsia" w:ascii="宋体" w:hAnsi="宋体" w:eastAsia="宋体" w:cs="宋体"/>
          <w:b/>
          <w:spacing w:val="-2"/>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w:t>
      </w:r>
      <w:r>
        <w:rPr>
          <w:rFonts w:hint="eastAsia" w:ascii="宋体" w:hAnsi="宋体" w:eastAsia="宋体" w:cs="宋体"/>
          <w:b/>
          <w:spacing w:val="-2"/>
          <w:sz w:val="24"/>
          <w:szCs w:val="24"/>
          <w:highlight w:val="none"/>
        </w:rPr>
        <w:t>磋商保证金</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1.户名：</w:t>
      </w:r>
      <w:r>
        <w:rPr>
          <w:rFonts w:hint="eastAsia" w:ascii="宋体" w:hAnsi="宋体" w:eastAsia="宋体" w:cs="宋体"/>
          <w:sz w:val="21"/>
          <w:szCs w:val="21"/>
          <w:highlight w:val="none"/>
          <w:lang w:eastAsia="zh-CN"/>
        </w:rPr>
        <w:t>正信伟业工程咨询管理有限公司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2.账号：7451110182600027374</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3.开户银行：中信银行哈尔滨分行营业部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4.磋商保证金的形式：银行汇款</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5.磋商保证金的金额：</w:t>
      </w:r>
      <w:r>
        <w:rPr>
          <w:rFonts w:hint="eastAsia" w:ascii="宋体" w:hAnsi="宋体" w:eastAsia="宋体" w:cs="宋体"/>
          <w:sz w:val="21"/>
          <w:szCs w:val="21"/>
          <w:highlight w:val="none"/>
          <w:lang w:val="en-US" w:eastAsia="zh-CN"/>
        </w:rPr>
        <w:t>12000</w:t>
      </w:r>
      <w:r>
        <w:rPr>
          <w:rFonts w:hint="eastAsia" w:ascii="宋体" w:hAnsi="宋体" w:eastAsia="宋体" w:cs="宋体"/>
          <w:sz w:val="21"/>
          <w:szCs w:val="21"/>
          <w:highlight w:val="none"/>
        </w:rPr>
        <w:t>.00元</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6.磋商保证金的递交方式：从供应商企业基本账户进行转账的形式交纳。</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7.磋商保证金交纳的</w:t>
      </w:r>
      <w:r>
        <w:rPr>
          <w:rFonts w:hint="eastAsia" w:ascii="宋体" w:hAnsi="宋体" w:eastAsia="宋体" w:cs="宋体"/>
          <w:sz w:val="21"/>
          <w:szCs w:val="21"/>
          <w:highlight w:val="none"/>
          <w:lang w:eastAsia="zh-CN"/>
        </w:rPr>
        <w:t>截止</w:t>
      </w:r>
      <w:r>
        <w:rPr>
          <w:rFonts w:hint="eastAsia" w:ascii="宋体" w:hAnsi="宋体" w:eastAsia="宋体" w:cs="宋体"/>
          <w:sz w:val="21"/>
          <w:szCs w:val="21"/>
          <w:highlight w:val="none"/>
        </w:rPr>
        <w:t>时间及地点：</w:t>
      </w:r>
      <w:r>
        <w:rPr>
          <w:rFonts w:hint="eastAsia" w:ascii="宋体" w:hAnsi="宋体" w:eastAsia="宋体" w:cs="宋体"/>
          <w:sz w:val="21"/>
          <w:szCs w:val="21"/>
          <w:highlight w:val="none"/>
          <w:lang w:val="en-US" w:eastAsia="zh-CN"/>
        </w:rPr>
        <w:t>2020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分</w:t>
      </w:r>
      <w:r>
        <w:rPr>
          <w:rStyle w:val="30"/>
          <w:rFonts w:hint="eastAsia" w:ascii="宋体" w:hAnsi="宋体" w:eastAsia="宋体" w:cs="宋体"/>
          <w:b w:val="0"/>
          <w:bCs/>
          <w:sz w:val="21"/>
          <w:szCs w:val="21"/>
          <w:highlight w:val="none"/>
          <w:lang w:eastAsia="zh-CN"/>
        </w:rPr>
        <w:t>前</w:t>
      </w:r>
      <w:r>
        <w:rPr>
          <w:rFonts w:hint="eastAsia" w:ascii="宋体" w:hAnsi="宋体" w:eastAsia="宋体" w:cs="宋体"/>
          <w:sz w:val="21"/>
          <w:szCs w:val="21"/>
          <w:highlight w:val="none"/>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注：1、供应商必须从企业工商注册所在地基本账户汇款至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账户(磋商文件中指定的账户)，且磋商保证金的付款单位与供应商的名称必须一致。2、汇款时注明“</w:t>
      </w:r>
      <w:r>
        <w:rPr>
          <w:rFonts w:hint="eastAsia" w:ascii="宋体" w:hAnsi="宋体" w:eastAsia="宋体" w:cs="宋体"/>
          <w:sz w:val="21"/>
          <w:szCs w:val="21"/>
          <w:highlight w:val="none"/>
          <w:lang w:eastAsia="zh-CN"/>
        </w:rPr>
        <w:t>哈尔滨工程大学校园网机房专用空调采购项目（二次）</w:t>
      </w:r>
      <w:r>
        <w:rPr>
          <w:rFonts w:hint="eastAsia" w:ascii="宋体" w:hAnsi="宋体" w:eastAsia="宋体" w:cs="宋体"/>
          <w:sz w:val="21"/>
          <w:szCs w:val="21"/>
          <w:highlight w:val="none"/>
        </w:rPr>
        <w:t>磋商保证金”字样，如未注明所造成的一切后果均由供应商自行负责。3、各供应商汇款后，应查询本企业开户银行磋商保证金是否有退款的情况。4、磋商保证金以我公司账户收到款项日期为准。5、汇款后将电汇底单和银行开户许可证清晰扫描件发送至zxwyzb7@163.com邮箱，注明“</w:t>
      </w:r>
      <w:r>
        <w:rPr>
          <w:rFonts w:hint="eastAsia" w:ascii="宋体" w:hAnsi="宋体" w:eastAsia="宋体" w:cs="宋体"/>
          <w:sz w:val="21"/>
          <w:szCs w:val="21"/>
          <w:highlight w:val="none"/>
          <w:lang w:eastAsia="zh-CN"/>
        </w:rPr>
        <w:t>哈尔滨工程大学校园网机房专用空调采购项目（二次）</w:t>
      </w:r>
      <w:r>
        <w:rPr>
          <w:rFonts w:hint="eastAsia" w:ascii="宋体" w:hAnsi="宋体" w:eastAsia="宋体" w:cs="宋体"/>
          <w:sz w:val="21"/>
          <w:szCs w:val="21"/>
          <w:highlight w:val="none"/>
        </w:rPr>
        <w:t>保证金”。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以电汇的形式于</w:t>
      </w:r>
      <w:r>
        <w:rPr>
          <w:rFonts w:hint="eastAsia" w:ascii="宋体" w:hAnsi="宋体" w:eastAsia="宋体" w:cs="宋体"/>
          <w:sz w:val="21"/>
          <w:szCs w:val="21"/>
          <w:highlight w:val="none"/>
          <w:lang w:val="en-US" w:eastAsia="zh-CN"/>
        </w:rPr>
        <w:t>2020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分</w:t>
      </w:r>
      <w:r>
        <w:rPr>
          <w:rStyle w:val="30"/>
          <w:rFonts w:hint="eastAsia" w:ascii="宋体" w:hAnsi="宋体" w:eastAsia="宋体" w:cs="宋体"/>
          <w:b w:val="0"/>
          <w:bCs/>
          <w:sz w:val="21"/>
          <w:szCs w:val="21"/>
          <w:highlight w:val="none"/>
          <w:lang w:eastAsia="zh-CN"/>
        </w:rPr>
        <w:t>前</w:t>
      </w:r>
      <w:r>
        <w:rPr>
          <w:rFonts w:hint="eastAsia" w:ascii="宋体" w:hAnsi="宋体" w:eastAsia="宋体" w:cs="宋体"/>
          <w:sz w:val="21"/>
          <w:szCs w:val="21"/>
          <w:highlight w:val="none"/>
        </w:rPr>
        <w:t>电汇至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财务室，注明项目名称。有以下情形的汇款，拒收并回退原账户：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（1）以个人名义汇至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）汇款人账户名称、账号与供应商开户许可证名称、账号不一致的。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担保保函方式提交磋商保证金的，应提交经省级及以上财政部门认定的担保公司出具的投标保函，或银行出具的投标保函（保函需对代理机构）。投标保函应按磋商文件中规定的“政府采购投标保函”样式出具，不按磋商文件规定的“政府采购投标保函”样式出具的磋商保函，代理机构不予接受。</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8.任何未按要求提交磋商保证金、投标保函的供应商，代理机构将视其为非实质性响应而予以拒绝。</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9.磋商保证金的清退</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（1）如无质疑或投诉，未成交的磋商供应商的磋商保证金于成交通知书发出后5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日内予以退还；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成交供应商的磋商保证金将按照有关规定，在采购单位与成交供应商签订合同后5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日内予以退还。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（2）如有质疑或投诉，将在质疑或投诉处理完毕后5日内为未成交供应商办理保证金清退手续；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（3）磋商保证金清退时，</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将按原汇款账号退回，</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不受理以任何理由将磋商保证金退至其他账户的业务；</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4.有下列情形之一的，供应商的磋商保证金将被依法没收：</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(1)在提交响应文件截止时间后撤回响应文件的；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(2)在响应文件中提供虚假材料的；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(3)成交后无正当理由放弃成交或在规定期限内不与采购人签订合同的；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(4)与采购人、其他供应商或者采购代理机构恶意串通的；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(5)被认定为虚假和恶意质疑的。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5.对磋商保证金的咨询请与代理机构招标七组联系：</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 0451-82362805-80</w:t>
      </w:r>
      <w:r>
        <w:rPr>
          <w:rFonts w:hint="eastAsia" w:ascii="宋体" w:hAnsi="宋体" w:eastAsia="宋体" w:cs="宋体"/>
          <w:sz w:val="21"/>
          <w:szCs w:val="21"/>
          <w:highlight w:val="none"/>
          <w:lang w:val="en-US" w:eastAsia="zh-CN"/>
        </w:rPr>
        <w:t>89</w:t>
      </w: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许女士</w:t>
      </w:r>
      <w:r>
        <w:rPr>
          <w:rFonts w:hint="eastAsia" w:ascii="宋体" w:hAnsi="宋体" w:eastAsia="宋体" w:cs="宋体"/>
          <w:sz w:val="21"/>
          <w:szCs w:val="21"/>
          <w:highlight w:val="none"/>
        </w:rPr>
        <w:t>；</w:t>
      </w:r>
    </w:p>
    <w:p>
      <w:pPr>
        <w:spacing w:line="360" w:lineRule="auto"/>
        <w:ind w:firstLine="562" w:firstLineChars="20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D  磋商及评审方法</w:t>
      </w:r>
    </w:p>
    <w:p>
      <w:pPr>
        <w:snapToGrid w:val="0"/>
        <w:spacing w:line="360" w:lineRule="auto"/>
        <w:ind w:firstLine="510"/>
        <w:jc w:val="center"/>
        <w:rPr>
          <w:rFonts w:hint="eastAsia" w:ascii="宋体" w:hAnsi="宋体" w:eastAsia="宋体" w:cs="宋体"/>
          <w:spacing w:val="-10"/>
          <w:sz w:val="24"/>
          <w:szCs w:val="24"/>
          <w:highlight w:val="none"/>
        </w:rPr>
      </w:pPr>
    </w:p>
    <w:p>
      <w:pPr>
        <w:snapToGrid w:val="0"/>
        <w:spacing w:line="360" w:lineRule="auto"/>
        <w:rPr>
          <w:rFonts w:hint="eastAsia" w:ascii="宋体" w:hAnsi="宋体" w:eastAsia="宋体" w:cs="宋体"/>
          <w:b/>
          <w:bCs/>
          <w:spacing w:val="-10"/>
          <w:sz w:val="24"/>
          <w:szCs w:val="24"/>
          <w:highlight w:val="none"/>
        </w:rPr>
      </w:pPr>
      <w:r>
        <w:rPr>
          <w:rFonts w:hint="eastAsia" w:ascii="宋体" w:hAnsi="宋体" w:eastAsia="宋体" w:cs="宋体"/>
          <w:b/>
          <w:bCs/>
          <w:spacing w:val="-10"/>
          <w:sz w:val="24"/>
          <w:szCs w:val="24"/>
          <w:highlight w:val="none"/>
        </w:rPr>
        <w:t>十</w:t>
      </w:r>
      <w:r>
        <w:rPr>
          <w:rFonts w:hint="eastAsia" w:ascii="宋体" w:hAnsi="宋体" w:eastAsia="宋体" w:cs="宋体"/>
          <w:b/>
          <w:bCs/>
          <w:spacing w:val="-10"/>
          <w:sz w:val="24"/>
          <w:szCs w:val="24"/>
          <w:highlight w:val="none"/>
          <w:lang w:eastAsia="zh-CN"/>
        </w:rPr>
        <w:t>七</w:t>
      </w:r>
      <w:r>
        <w:rPr>
          <w:rFonts w:hint="eastAsia" w:ascii="宋体" w:hAnsi="宋体" w:eastAsia="宋体" w:cs="宋体"/>
          <w:b/>
          <w:bCs/>
          <w:spacing w:val="-10"/>
          <w:sz w:val="24"/>
          <w:szCs w:val="24"/>
          <w:highlight w:val="none"/>
        </w:rPr>
        <w:t>、磋商</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（一）磋商工作由采购代理机构负责组织，具体评审事务由采购代理机构依法组建的竞争性磋商小组负责；</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（二）参加磋商的供应商须按竞争性磋商文件规定的时间和地点提交响应文件；    </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（三）资格性审查：</w:t>
      </w:r>
    </w:p>
    <w:p>
      <w:pPr>
        <w:keepNext w:val="0"/>
        <w:keepLines w:val="0"/>
        <w:pageBreakBefore w:val="0"/>
        <w:widowControl w:val="0"/>
        <w:kinsoku/>
        <w:wordWrap/>
        <w:overflowPunct/>
        <w:topLinePunct w:val="0"/>
        <w:autoSpaceDE/>
        <w:autoSpaceDN/>
        <w:bidi w:val="0"/>
        <w:adjustRightInd/>
        <w:spacing w:line="360" w:lineRule="auto"/>
        <w:ind w:firstLine="472" w:firstLineChars="225"/>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磋商小组依据法律法规和竞争性磋商文件规定，对响应文件中的资格证明等进行审查，以确定供应商是否具备入围资格。如供应商不具备入围资格，应书面告知未入围的供应商原因并要求其签字确认收到告知书；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四）符合性检查。依据竞争性磋商文件的规定，从响应文件的有效性、完整性和对竞争性磋商文件的响应程度进行检查，以确定是否对竞争性磋商文件的实质性要求作出响应。如未作出实质性响应，应书面告知未实质性响应的具体条款并签字确认收到告知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五）对响应文件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（六）供应商若有影响磋商结果的任何举动，将导致其最后报价被拒绝；</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（七）在磋商过程中，如采购人对采购需求有变动，磋商小组应当以书面形式通知所有参加磋商的供应商；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0"/>
          <w:sz w:val="21"/>
          <w:szCs w:val="21"/>
          <w:highlight w:val="none"/>
        </w:rPr>
        <w:t>（八）磋商结束后，由磋商小组负责确定最终入围供应商。即资格性和符合性检查合格的供应商，</w:t>
      </w:r>
      <w:r>
        <w:rPr>
          <w:rFonts w:hint="eastAsia" w:ascii="宋体" w:hAnsi="宋体" w:eastAsia="宋体" w:cs="宋体"/>
          <w:sz w:val="21"/>
          <w:szCs w:val="21"/>
          <w:highlight w:val="none"/>
        </w:rPr>
        <w:t>作为入围供应商，有资格进行最后报价。该报价将作为磋商小组确定最终成交</w:t>
      </w:r>
      <w:r>
        <w:rPr>
          <w:rFonts w:hint="eastAsia" w:ascii="宋体" w:hAnsi="宋体" w:eastAsia="宋体" w:cs="宋体"/>
          <w:sz w:val="21"/>
          <w:szCs w:val="21"/>
          <w:highlight w:val="none"/>
          <w:lang w:val="en-US" w:eastAsia="zh-CN"/>
        </w:rPr>
        <w:t>候选</w:t>
      </w:r>
      <w:r>
        <w:rPr>
          <w:rFonts w:hint="eastAsia" w:ascii="宋体" w:hAnsi="宋体" w:eastAsia="宋体" w:cs="宋体"/>
          <w:sz w:val="21"/>
          <w:szCs w:val="21"/>
          <w:highlight w:val="none"/>
        </w:rPr>
        <w:t>供应商的价格，提交最后报价的供应商不得少于3家；</w:t>
      </w:r>
      <w:r>
        <w:rPr>
          <w:rFonts w:hint="eastAsia" w:ascii="宋体" w:hAnsi="宋体" w:eastAsia="宋体" w:cs="宋体"/>
          <w:sz w:val="21"/>
          <w:szCs w:val="21"/>
          <w:highlight w:val="none"/>
          <w:lang w:val="en-US" w:eastAsia="zh-CN"/>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（九）入围供应商应在规定时间内做出最后报价，并将报价单在报价截止时间（以开标大厅时间为准）前提交到</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（哈尔滨市香坊区红旗大街235号投资大厦17层）开标室。在最后报价截止时间后递交的报价将被拒收。如入围供应商未按规定要求和时间提交最后报价，将以该供应商提交的初始报价作为其最后报价。</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（十）最后报价在磋商小组规定的截止时间前（以开标大厅时间为准）提交到</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哈尔滨市香坊区红旗大街235号投资大厦17层）开标室（有项目名称和项目编号标识)。如供应商认为最后报价时间不足，应当场向磋商小组提交延长申请，由磋商小组研究后重新确定最后报价截止时间。重新确定最后报价截止时间后再提交的延长申请，磋商小组不予受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（十一）出现下列情形之一的，将以该供应商提交的初始报价作为其最后报价：</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（1）最后报价未在规定时间提交的；</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）最后报价未按要求签字的；</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）最后报价改变了初始报价中材料的品牌、规格和质量等级的。</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（十二）企业信用记录核实</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1、核实内容：磋商小组现场核实供应商</w:t>
      </w:r>
      <w:r>
        <w:rPr>
          <w:rFonts w:hint="eastAsia" w:ascii="宋体" w:hAnsi="宋体" w:eastAsia="宋体" w:cs="宋体"/>
          <w:sz w:val="21"/>
          <w:szCs w:val="21"/>
          <w:highlight w:val="none"/>
          <w:lang w:val="en-US" w:eastAsia="zh-CN"/>
        </w:rPr>
        <w:t>是否被“</w:t>
      </w:r>
      <w:r>
        <w:rPr>
          <w:rFonts w:hint="eastAsia" w:ascii="宋体" w:hAnsi="宋体" w:eastAsia="宋体" w:cs="宋体"/>
          <w:sz w:val="21"/>
          <w:szCs w:val="21"/>
          <w:highlight w:val="none"/>
        </w:rPr>
        <w:t>列入失信被执行人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重大税收违法案件当事人名单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以及政府采购严重违法失信行为记录名单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2、核实路径：</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（1）“信用中国”（http://www.creditchina.gov.cn）；</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（2）“中国政府采购网”（网址：http://www.ccgp.gov.cn/cr/list）；</w:t>
      </w:r>
    </w:p>
    <w:p>
      <w:pPr>
        <w:spacing w:line="360" w:lineRule="auto"/>
        <w:ind w:firstLine="48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3）“国家企业信用信息公示系统”（http://www.gsxt.gov.cn/index.html）</w:t>
      </w:r>
      <w:r>
        <w:rPr>
          <w:rFonts w:hint="eastAsia" w:ascii="宋体" w:hAnsi="宋体" w:eastAsia="宋体" w:cs="宋体"/>
          <w:kern w:val="0"/>
          <w:sz w:val="21"/>
          <w:szCs w:val="21"/>
          <w:highlight w:val="none"/>
          <w:lang w:eastAsia="zh-CN"/>
        </w:rPr>
        <w:t>；</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磋商小组应按竞争性磋商文件规定的查询网站、核实事项现场开展核实工作，以官方网站公开发布的严重违法失信行为记录作为判定事实的依据，如发现供应商三年内有不良信用记录，则报价无效；</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 xml:space="preserve">、评审方法和原则 </w:t>
      </w:r>
    </w:p>
    <w:p>
      <w:pPr>
        <w:snapToGrid w:val="0"/>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1、本项目采用综合评分法</w:t>
      </w:r>
      <w:r>
        <w:rPr>
          <w:rFonts w:hint="default"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满分为100分</w:t>
      </w:r>
      <w:r>
        <w:rPr>
          <w:rFonts w:hint="eastAsia" w:ascii="宋体" w:hAnsi="宋体" w:eastAsia="宋体" w:cs="宋体"/>
          <w:sz w:val="21"/>
          <w:szCs w:val="21"/>
          <w:highlight w:val="none"/>
          <w:lang w:eastAsia="zh-CN"/>
        </w:rPr>
        <w:t>。</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2、最后报价的分值统一采用低价优先法计算，即满足磋商文件要求且最后报价最低的报价为磋商基准价，其价格分为满分。其他入围供应商的最后报价得分统一按照下列公式计算：</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最后报价得分＝（磋商基准价/最后报价）×30</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对小型、微型企业产品的最后报价给予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%的价格扣除，用扣除后的价格参与评审。评审价=最后报价-最后报价×</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%，其评审价可以作为磋商基准价。</w:t>
      </w:r>
    </w:p>
    <w:p>
      <w:pPr>
        <w:snapToGrid w:val="0"/>
        <w:spacing w:line="360" w:lineRule="auto"/>
        <w:ind w:firstLine="457" w:firstLineChars="218"/>
        <w:rPr>
          <w:rFonts w:hint="eastAsia" w:ascii="宋体" w:hAnsi="宋体" w:cs="宋体"/>
          <w:szCs w:val="21"/>
          <w:highlight w:val="none"/>
          <w:lang w:eastAsia="zh-CN"/>
        </w:rPr>
      </w:pPr>
      <w:r>
        <w:rPr>
          <w:rFonts w:hint="eastAsia" w:ascii="宋体" w:hAnsi="宋体" w:cs="宋体"/>
          <w:szCs w:val="21"/>
          <w:highlight w:val="none"/>
        </w:rPr>
        <w:t>将供应商的综合得分按从高到低顺序排列，排在第一位的即为成交候选供应商。得分相同时，按最后报价由低到高顺序推荐；得分相同且最后报价相同的，按技术</w:t>
      </w:r>
      <w:r>
        <w:rPr>
          <w:rFonts w:hint="eastAsia" w:ascii="宋体" w:hAnsi="宋体" w:cs="宋体"/>
          <w:szCs w:val="21"/>
          <w:highlight w:val="none"/>
          <w:lang w:eastAsia="zh-CN"/>
        </w:rPr>
        <w:t>部分得分由高到低的</w:t>
      </w:r>
      <w:r>
        <w:rPr>
          <w:rFonts w:hint="eastAsia" w:ascii="宋体" w:hAnsi="宋体" w:cs="宋体"/>
          <w:szCs w:val="21"/>
          <w:highlight w:val="none"/>
        </w:rPr>
        <w:t>顺序推荐</w:t>
      </w:r>
      <w:r>
        <w:rPr>
          <w:rFonts w:hint="eastAsia" w:ascii="宋体" w:hAnsi="宋体" w:cs="宋体"/>
          <w:szCs w:val="21"/>
          <w:highlight w:val="none"/>
          <w:lang w:eastAsia="zh-CN"/>
        </w:rPr>
        <w:t>；技术部分得分也相同的，由采购人委托磋商小组采取随机抽取的方式确定成交供应商。</w:t>
      </w:r>
    </w:p>
    <w:p>
      <w:pPr>
        <w:snapToGrid w:val="0"/>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3、评审优惠政策</w:t>
      </w:r>
    </w:p>
    <w:p>
      <w:pPr>
        <w:snapToGrid w:val="0"/>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 xml:space="preserve">A </w:t>
      </w:r>
      <w:r>
        <w:rPr>
          <w:rFonts w:hint="eastAsia" w:ascii="宋体" w:hAnsi="宋体" w:cs="宋体"/>
          <w:szCs w:val="21"/>
          <w:highlight w:val="none"/>
          <w:lang w:eastAsia="zh-CN"/>
        </w:rPr>
        <w:t>、</w:t>
      </w:r>
      <w:r>
        <w:rPr>
          <w:rFonts w:hint="eastAsia" w:ascii="宋体" w:hAnsi="宋体" w:cs="宋体"/>
          <w:szCs w:val="21"/>
          <w:highlight w:val="none"/>
        </w:rPr>
        <w:t>根据财库〔2019〕9号文件规定，供应商所投产品涉及财库〔2019〕19号文件规定的节能产品政府采购品目清单中以“★”标注的产品（A020101 计算机设备、A020523 制冷空调设备、A020609 镇流器、A0206180203 空调机、电热水器、普通照明用双端荧光灯、A020910 电视设备、A020911 视频设备、A060805 便器、A060806 水嘴）必须采用节能清单中产品，磋商响应文件中应提供节能产品、环境标志产品认证证书或中国政府采购网（www.ccgp.gov.cn）的认证截图，否则其投标将被否决。</w:t>
      </w:r>
    </w:p>
    <w:p>
      <w:pPr>
        <w:snapToGrid w:val="0"/>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lang w:eastAsia="zh-CN"/>
        </w:rPr>
        <w:t>、</w:t>
      </w:r>
      <w:r>
        <w:rPr>
          <w:rFonts w:hint="eastAsia" w:ascii="宋体" w:hAnsi="宋体" w:cs="宋体"/>
          <w:szCs w:val="21"/>
          <w:highlight w:val="none"/>
        </w:rPr>
        <w:t>根据《关于印发环境标志产品政府采购品目清单的通知》(财库〔2019〕18号)文件规定。投标产品属于清单中品目的，在性能、技术、服务等指标同等、报价相同的条件下，优先采购清单中的产品。</w:t>
      </w:r>
    </w:p>
    <w:p>
      <w:pPr>
        <w:snapToGrid w:val="0"/>
        <w:spacing w:line="360" w:lineRule="auto"/>
        <w:ind w:firstLine="457" w:firstLineChars="218"/>
        <w:rPr>
          <w:rFonts w:hint="eastAsia" w:ascii="宋体" w:hAnsi="宋体" w:cs="宋体"/>
          <w:szCs w:val="21"/>
          <w:highlight w:val="none"/>
        </w:rPr>
      </w:pPr>
      <w:r>
        <w:rPr>
          <w:rFonts w:hint="eastAsia" w:ascii="宋体" w:hAnsi="宋体" w:cs="宋体"/>
          <w:szCs w:val="21"/>
          <w:highlight w:val="none"/>
        </w:rPr>
        <w:t>C、根据财库［2011］181号文件规定，非专门面向中小企业的项目，对小型和微型企业产品的最后报价给予</w:t>
      </w:r>
      <w:r>
        <w:rPr>
          <w:rFonts w:hint="eastAsia" w:ascii="宋体" w:hAnsi="宋体" w:cs="宋体"/>
          <w:szCs w:val="21"/>
          <w:highlight w:val="none"/>
          <w:lang w:val="en-US" w:eastAsia="zh-CN"/>
        </w:rPr>
        <w:t>6</w:t>
      </w:r>
      <w:r>
        <w:rPr>
          <w:rFonts w:hint="eastAsia" w:ascii="宋体" w:hAnsi="宋体" w:cs="宋体"/>
          <w:szCs w:val="21"/>
          <w:highlight w:val="none"/>
        </w:rPr>
        <w:t>%的扣除，用扣除后的价格参与评审。</w:t>
      </w:r>
    </w:p>
    <w:p>
      <w:pPr>
        <w:snapToGrid w:val="0"/>
        <w:spacing w:line="360" w:lineRule="auto"/>
        <w:ind w:firstLine="461"/>
        <w:rPr>
          <w:rFonts w:hint="eastAsia" w:ascii="宋体"/>
          <w:highlight w:val="none"/>
        </w:rPr>
      </w:pPr>
      <w:r>
        <w:rPr>
          <w:rFonts w:hint="eastAsia" w:ascii="宋体"/>
          <w:highlight w:val="none"/>
        </w:rPr>
        <w:t>D、根据财政部发布的《关于政府采购支持监狱企业发展有关问题的通知》规定，对监狱企业产品的价格给予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highlight w:val="none"/>
        </w:rPr>
      </w:pPr>
      <w:r>
        <w:rPr>
          <w:rFonts w:hint="eastAsia" w:ascii="宋体"/>
          <w:highlight w:val="none"/>
        </w:rPr>
        <w:t>E、根据财政部发布的《关于促进残疾人就业政府采购政策的通知》规定，对残疾人福利性单位产品的价格给予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highlight w:val="none"/>
        </w:rPr>
      </w:pPr>
      <w:r>
        <w:rPr>
          <w:rFonts w:hint="eastAsia" w:ascii="宋体"/>
          <w:highlight w:val="none"/>
        </w:rPr>
        <w:t>注：★采购人所采购的产品属于国家有关安全、节能、环保等强制性标准，供应商所投产品必须同时满足强制标准和本项目采购要求。</w:t>
      </w:r>
    </w:p>
    <w:p>
      <w:pPr>
        <w:numPr>
          <w:ilvl w:val="0"/>
          <w:numId w:val="0"/>
        </w:numPr>
        <w:snapToGrid w:val="0"/>
        <w:spacing w:line="360" w:lineRule="auto"/>
        <w:ind w:firstLine="420" w:firstLineChars="200"/>
        <w:rPr>
          <w:rFonts w:hint="eastAsia" w:ascii="宋体" w:hAnsi="宋体" w:eastAsia="宋体" w:cs="宋体"/>
          <w:sz w:val="21"/>
          <w:szCs w:val="21"/>
          <w:highlight w:val="none"/>
        </w:rPr>
      </w:pPr>
      <w:r>
        <w:rPr>
          <w:rFonts w:hint="eastAsia" w:ascii="宋体"/>
          <w:highlight w:val="none"/>
          <w:lang w:val="en-US" w:eastAsia="zh-CN"/>
        </w:rPr>
        <w:t>4、</w:t>
      </w:r>
      <w:r>
        <w:rPr>
          <w:rFonts w:hint="eastAsia" w:ascii="宋体"/>
          <w:highlight w:val="none"/>
        </w:rPr>
        <w:t>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pPr>
        <w:numPr>
          <w:ilvl w:val="0"/>
          <w:numId w:val="0"/>
        </w:numPr>
        <w:snapToGrid w:val="0"/>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磋商小组认为，排在前面的成交候选供应商最后报价或者某些分项报价明显不合理，有可能影响产品质量或不能诚信履约的，应当要求其在规定时间内提供书面文件予以解释说明，并提供相关证明材料；否则，磋商小组可以取消该供应商的成交候选供应商资格。</w:t>
      </w:r>
      <w:r>
        <w:rPr>
          <w:rFonts w:hint="eastAsia" w:ascii="宋体" w:hAnsi="宋体" w:eastAsia="宋体" w:cs="宋体"/>
          <w:b/>
          <w:sz w:val="21"/>
          <w:szCs w:val="21"/>
          <w:highlight w:val="none"/>
        </w:rPr>
        <w:br w:type="page"/>
      </w:r>
    </w:p>
    <w:p>
      <w:pPr>
        <w:snapToGrid w:val="0"/>
        <w:spacing w:line="360" w:lineRule="auto"/>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评分标准和评分细则</w:t>
      </w:r>
    </w:p>
    <w:tbl>
      <w:tblPr>
        <w:tblStyle w:val="19"/>
        <w:tblW w:w="5067" w:type="pct"/>
        <w:jc w:val="center"/>
        <w:tblLayout w:type="autofit"/>
        <w:tblCellMar>
          <w:top w:w="15" w:type="dxa"/>
          <w:left w:w="15" w:type="dxa"/>
          <w:bottom w:w="15" w:type="dxa"/>
          <w:right w:w="15" w:type="dxa"/>
        </w:tblCellMar>
      </w:tblPr>
      <w:tblGrid>
        <w:gridCol w:w="740"/>
        <w:gridCol w:w="1213"/>
        <w:gridCol w:w="1475"/>
        <w:gridCol w:w="5510"/>
      </w:tblGrid>
      <w:tr>
        <w:tblPrEx>
          <w:tblCellMar>
            <w:top w:w="15" w:type="dxa"/>
            <w:left w:w="15" w:type="dxa"/>
            <w:bottom w:w="15" w:type="dxa"/>
            <w:right w:w="15" w:type="dxa"/>
          </w:tblCellMar>
        </w:tblPrEx>
        <w:trPr>
          <w:trHeight w:val="448"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序号</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评审项目</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rPr>
              <w:t>标准分值</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分</w:t>
            </w:r>
            <w:r>
              <w:rPr>
                <w:rFonts w:hint="eastAsia" w:ascii="宋体" w:hAnsi="宋体" w:eastAsia="宋体" w:cs="宋体"/>
                <w:b/>
                <w:bCs/>
                <w:kern w:val="0"/>
                <w:sz w:val="21"/>
                <w:szCs w:val="21"/>
                <w:highlight w:val="none"/>
                <w:lang w:eastAsia="zh-CN"/>
              </w:rPr>
              <w:t>）</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评分细则</w:t>
            </w:r>
          </w:p>
        </w:tc>
      </w:tr>
      <w:tr>
        <w:tblPrEx>
          <w:tblCellMar>
            <w:top w:w="15" w:type="dxa"/>
            <w:left w:w="15" w:type="dxa"/>
            <w:bottom w:w="15" w:type="dxa"/>
            <w:right w:w="15" w:type="dxa"/>
          </w:tblCellMar>
        </w:tblPrEx>
        <w:trPr>
          <w:trHeight w:val="439"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1"/>
                <w:szCs w:val="21"/>
                <w:highlight w:val="none"/>
              </w:rPr>
              <w:t>商务部分</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pacing w:val="-10"/>
                <w:kern w:val="0"/>
                <w:sz w:val="24"/>
                <w:szCs w:val="24"/>
                <w:highlight w:val="none"/>
              </w:rPr>
            </w:pPr>
          </w:p>
        </w:tc>
      </w:tr>
      <w:tr>
        <w:tblPrEx>
          <w:tblCellMar>
            <w:top w:w="15" w:type="dxa"/>
            <w:left w:w="15" w:type="dxa"/>
            <w:bottom w:w="15" w:type="dxa"/>
            <w:right w:w="15" w:type="dxa"/>
          </w:tblCellMar>
        </w:tblPrEx>
        <w:trPr>
          <w:trHeight w:val="1325"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文件编制</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cs="微软雅黑"/>
                <w:kern w:val="0"/>
                <w:highlight w:val="none"/>
                <w:shd w:val="clear" w:color="auto" w:fill="FFFFFF"/>
              </w:rPr>
              <w:t>磋商文件编制完整、有目录(目录对应页码）、总体编排有序，格式规范、装订整齐、页码连续清晰，得</w:t>
            </w:r>
            <w:r>
              <w:rPr>
                <w:rFonts w:hint="eastAsia" w:ascii="宋体" w:hAnsi="宋体" w:cs="微软雅黑"/>
                <w:kern w:val="0"/>
                <w:highlight w:val="none"/>
                <w:shd w:val="clear" w:color="auto" w:fill="FFFFFF"/>
                <w:lang w:val="en-US" w:eastAsia="zh-CN"/>
              </w:rPr>
              <w:t>3</w:t>
            </w:r>
            <w:r>
              <w:rPr>
                <w:rFonts w:hint="eastAsia" w:ascii="宋体" w:hAnsi="宋体" w:cs="微软雅黑"/>
                <w:kern w:val="0"/>
                <w:highlight w:val="none"/>
                <w:shd w:val="clear" w:color="auto" w:fill="FFFFFF"/>
              </w:rPr>
              <w:t>分；每有一项不符合要求的扣</w:t>
            </w:r>
            <w:r>
              <w:rPr>
                <w:rFonts w:hint="eastAsia" w:ascii="宋体" w:hAnsi="宋体" w:cs="微软雅黑"/>
                <w:kern w:val="0"/>
                <w:highlight w:val="none"/>
                <w:shd w:val="clear" w:color="auto" w:fill="FFFFFF"/>
                <w:lang w:val="en-US" w:eastAsia="zh-CN"/>
              </w:rPr>
              <w:t>1</w:t>
            </w:r>
            <w:r>
              <w:rPr>
                <w:rFonts w:hint="eastAsia" w:ascii="宋体" w:hAnsi="宋体" w:cs="微软雅黑"/>
                <w:kern w:val="0"/>
                <w:highlight w:val="none"/>
                <w:shd w:val="clear" w:color="auto" w:fill="FFFFFF"/>
              </w:rPr>
              <w:t>分，扣完为止；响应文件有关内容前后矛盾、与磋商文件要求不一致等，磋商小组允许且需要通过磋商等程序进行澄清的，该项不得分。</w:t>
            </w:r>
          </w:p>
        </w:tc>
      </w:tr>
      <w:tr>
        <w:tblPrEx>
          <w:tblCellMar>
            <w:top w:w="15" w:type="dxa"/>
            <w:left w:w="15" w:type="dxa"/>
            <w:bottom w:w="15" w:type="dxa"/>
            <w:right w:w="15" w:type="dxa"/>
          </w:tblCellMar>
        </w:tblPrEx>
        <w:trPr>
          <w:trHeight w:val="1253"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产品供货</w:t>
            </w:r>
          </w:p>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案例</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420" w:firstLineChars="200"/>
              <w:jc w:val="left"/>
              <w:textAlignment w:val="center"/>
              <w:rPr>
                <w:rFonts w:hint="eastAsia" w:ascii="宋体" w:hAnsi="宋体" w:eastAsia="宋体" w:cs="宋体"/>
                <w:spacing w:val="-10"/>
                <w:kern w:val="0"/>
                <w:sz w:val="21"/>
                <w:szCs w:val="21"/>
                <w:highlight w:val="none"/>
              </w:rPr>
            </w:pPr>
            <w:r>
              <w:rPr>
                <w:rFonts w:hint="eastAsia" w:ascii="宋体" w:hAnsi="宋体" w:cs="微软雅黑"/>
                <w:kern w:val="0"/>
                <w:highlight w:val="none"/>
                <w:shd w:val="clear" w:color="auto" w:fill="FFFFFF"/>
                <w:lang w:val="en-US" w:eastAsia="zh-CN"/>
              </w:rPr>
              <w:t>近三年（2017年9月到2020年9月，以供货合同签订时间为准）有过与本项目同类供货经验，且项目已验收合格的，提供供货合同复印件，每一份业绩得1分，本项满分4分。供应商携带业绩合同原件备查，如磋商小组查验时，供应商不能提供原件，该项内容不得分。</w:t>
            </w:r>
          </w:p>
        </w:tc>
      </w:tr>
      <w:tr>
        <w:tblPrEx>
          <w:tblCellMar>
            <w:top w:w="15" w:type="dxa"/>
            <w:left w:w="15" w:type="dxa"/>
            <w:bottom w:w="15" w:type="dxa"/>
            <w:right w:w="15" w:type="dxa"/>
          </w:tblCellMar>
        </w:tblPrEx>
        <w:trPr>
          <w:trHeight w:val="90"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财务状况</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420" w:firstLineChars="200"/>
              <w:jc w:val="left"/>
              <w:textAlignment w:val="center"/>
              <w:rPr>
                <w:rFonts w:hint="eastAsia" w:ascii="宋体" w:hAnsi="宋体" w:cs="微软雅黑"/>
                <w:kern w:val="0"/>
                <w:highlight w:val="none"/>
                <w:shd w:val="clear" w:color="auto" w:fill="FFFFFF"/>
              </w:rPr>
            </w:pPr>
            <w:r>
              <w:rPr>
                <w:rFonts w:hint="eastAsia" w:ascii="宋体" w:hAnsi="宋体" w:cs="微软雅黑"/>
                <w:kern w:val="0"/>
                <w:highlight w:val="none"/>
                <w:shd w:val="clear" w:color="auto" w:fill="FFFFFF"/>
              </w:rPr>
              <w:t>供应商需提供开户行近三个月开具的资信证明得</w:t>
            </w:r>
            <w:r>
              <w:rPr>
                <w:rFonts w:hint="eastAsia" w:ascii="宋体" w:hAnsi="宋体" w:cs="微软雅黑"/>
                <w:kern w:val="0"/>
                <w:highlight w:val="none"/>
                <w:shd w:val="clear" w:color="auto" w:fill="FFFFFF"/>
                <w:lang w:val="en-US" w:eastAsia="zh-CN"/>
              </w:rPr>
              <w:t>3</w:t>
            </w:r>
            <w:r>
              <w:rPr>
                <w:rFonts w:hint="eastAsia" w:ascii="宋体" w:hAnsi="宋体" w:cs="微软雅黑"/>
                <w:kern w:val="0"/>
                <w:highlight w:val="none"/>
                <w:shd w:val="clear" w:color="auto" w:fill="FFFFFF"/>
              </w:rPr>
              <w:t>分，没有不得分。</w:t>
            </w:r>
          </w:p>
        </w:tc>
      </w:tr>
      <w:tr>
        <w:tblPrEx>
          <w:tblCellMar>
            <w:top w:w="15" w:type="dxa"/>
            <w:left w:w="15" w:type="dxa"/>
            <w:bottom w:w="15" w:type="dxa"/>
            <w:right w:w="15" w:type="dxa"/>
          </w:tblCellMar>
        </w:tblPrEx>
        <w:trPr>
          <w:trHeight w:val="439"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技术部分</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54</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default" w:ascii="宋体" w:hAnsi="宋体" w:eastAsia="宋体" w:cs="宋体"/>
                <w:spacing w:val="-10"/>
                <w:kern w:val="0"/>
                <w:sz w:val="21"/>
                <w:szCs w:val="21"/>
                <w:highlight w:val="none"/>
                <w:lang w:val="en-US" w:eastAsia="zh-CN"/>
              </w:rPr>
            </w:pPr>
          </w:p>
        </w:tc>
      </w:tr>
      <w:tr>
        <w:tblPrEx>
          <w:tblCellMar>
            <w:top w:w="15" w:type="dxa"/>
            <w:left w:w="15" w:type="dxa"/>
            <w:bottom w:w="15" w:type="dxa"/>
            <w:right w:w="15" w:type="dxa"/>
          </w:tblCellMar>
        </w:tblPrEx>
        <w:trPr>
          <w:trHeight w:val="1938" w:hRule="atLeast"/>
          <w:jc w:val="center"/>
        </w:trPr>
        <w:tc>
          <w:tcPr>
            <w:tcW w:w="414" w:type="pct"/>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678" w:type="pct"/>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技术指标</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ind w:firstLine="420" w:firstLineChars="200"/>
              <w:rPr>
                <w:rFonts w:hint="default" w:ascii="宋体" w:hAnsi="宋体" w:eastAsia="宋体" w:cs="宋体"/>
                <w:sz w:val="21"/>
                <w:szCs w:val="21"/>
                <w:highlight w:val="none"/>
                <w:lang w:val="en-US"/>
              </w:rPr>
            </w:pPr>
            <w:r>
              <w:rPr>
                <w:rFonts w:hint="eastAsia" w:ascii="宋体" w:hAnsi="宋体" w:cs="微软雅黑"/>
                <w:kern w:val="0"/>
                <w:highlight w:val="none"/>
                <w:shd w:val="clear" w:color="auto" w:fill="FFFFFF"/>
                <w:lang w:val="en-US" w:eastAsia="zh-CN"/>
              </w:rPr>
              <w:t>技术偏离表中“响应文件参数”应如实填写，并与“磋商文件参数和要求”一一对应，全部满足或高于磋商文件要求，得30分；采购需求及技术参数中标注★的技术参数如偏离，则响应文件无效；一般技术指标、参数与磋商文件规定的相应技术指标、参数产生负偏离的，每有一项减5分，超过六项（含六项）负偏离的则响应文件无效。</w:t>
            </w:r>
          </w:p>
        </w:tc>
      </w:tr>
      <w:tr>
        <w:tblPrEx>
          <w:tblCellMar>
            <w:top w:w="15" w:type="dxa"/>
            <w:left w:w="15" w:type="dxa"/>
            <w:bottom w:w="15" w:type="dxa"/>
            <w:right w:w="15" w:type="dxa"/>
          </w:tblCellMar>
        </w:tblPrEx>
        <w:trPr>
          <w:trHeight w:val="706" w:hRule="atLeast"/>
          <w:jc w:val="center"/>
        </w:trPr>
        <w:tc>
          <w:tcPr>
            <w:tcW w:w="414" w:type="pct"/>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rPr>
            </w:pPr>
          </w:p>
          <w:p>
            <w:pPr>
              <w:widowControl/>
              <w:jc w:val="center"/>
              <w:textAlignment w:val="center"/>
              <w:rPr>
                <w:rFonts w:hint="eastAsia" w:ascii="宋体" w:hAnsi="宋体" w:eastAsia="宋体" w:cs="宋体"/>
                <w:sz w:val="24"/>
                <w:szCs w:val="24"/>
                <w:highlight w:val="none"/>
              </w:rPr>
            </w:pPr>
          </w:p>
          <w:p>
            <w:pPr>
              <w:widowControl/>
              <w:jc w:val="center"/>
              <w:textAlignment w:val="center"/>
              <w:rPr>
                <w:rFonts w:hint="eastAsia" w:ascii="宋体" w:hAnsi="宋体" w:eastAsia="宋体" w:cs="宋体"/>
                <w:sz w:val="24"/>
                <w:szCs w:val="24"/>
                <w:highlight w:val="none"/>
              </w:rPr>
            </w:pPr>
          </w:p>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p>
            <w:pPr>
              <w:widowControl/>
              <w:jc w:val="center"/>
              <w:textAlignment w:val="center"/>
              <w:rPr>
                <w:rFonts w:hint="eastAsia" w:ascii="宋体" w:hAnsi="宋体" w:eastAsia="宋体" w:cs="宋体"/>
                <w:sz w:val="24"/>
                <w:szCs w:val="24"/>
                <w:highlight w:val="none"/>
              </w:rPr>
            </w:pPr>
          </w:p>
          <w:p>
            <w:pPr>
              <w:widowControl/>
              <w:jc w:val="center"/>
              <w:textAlignment w:val="center"/>
              <w:rPr>
                <w:rFonts w:hint="eastAsia" w:ascii="宋体" w:hAnsi="宋体" w:eastAsia="宋体" w:cs="宋体"/>
                <w:sz w:val="24"/>
                <w:szCs w:val="24"/>
                <w:highlight w:val="none"/>
              </w:rPr>
            </w:pPr>
          </w:p>
        </w:tc>
        <w:tc>
          <w:tcPr>
            <w:tcW w:w="678" w:type="pct"/>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p>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技术服务方案</w:t>
            </w:r>
          </w:p>
        </w:tc>
        <w:tc>
          <w:tcPr>
            <w:tcW w:w="825" w:type="pct"/>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lang w:val="en-US" w:eastAsia="zh-CN"/>
              </w:rPr>
            </w:pPr>
          </w:p>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z w:val="21"/>
                <w:szCs w:val="21"/>
                <w:highlight w:val="none"/>
              </w:rPr>
            </w:pPr>
            <w:r>
              <w:rPr>
                <w:rFonts w:hint="eastAsia" w:ascii="宋体" w:hAnsi="宋体" w:cs="微软雅黑"/>
                <w:kern w:val="0"/>
                <w:highlight w:val="none"/>
                <w:shd w:val="clear" w:color="auto" w:fill="FFFFFF"/>
              </w:rPr>
              <w:t>提供详细的技术服务方案，从保证供货措施</w:t>
            </w:r>
            <w:r>
              <w:rPr>
                <w:rFonts w:hint="eastAsia" w:ascii="宋体" w:hAnsi="宋体" w:cs="微软雅黑"/>
                <w:kern w:val="0"/>
                <w:highlight w:val="none"/>
                <w:shd w:val="clear" w:color="auto" w:fill="FFFFFF"/>
                <w:lang w:eastAsia="zh-CN"/>
              </w:rPr>
              <w:t>、</w:t>
            </w:r>
            <w:r>
              <w:rPr>
                <w:rFonts w:hint="eastAsia" w:ascii="宋体" w:hAnsi="宋体" w:cs="微软雅黑"/>
                <w:kern w:val="0"/>
                <w:highlight w:val="none"/>
                <w:shd w:val="clear" w:color="auto" w:fill="FFFFFF"/>
              </w:rPr>
              <w:t>设备验收及设备维护方案三个方面进行详细阐述：</w:t>
            </w:r>
          </w:p>
        </w:tc>
      </w:tr>
      <w:tr>
        <w:tblPrEx>
          <w:tblCellMar>
            <w:top w:w="15" w:type="dxa"/>
            <w:left w:w="15" w:type="dxa"/>
            <w:bottom w:w="15" w:type="dxa"/>
            <w:right w:w="15" w:type="dxa"/>
          </w:tblCellMar>
        </w:tblPrEx>
        <w:trPr>
          <w:trHeight w:val="1408" w:hRule="atLeast"/>
          <w:jc w:val="center"/>
        </w:trPr>
        <w:tc>
          <w:tcPr>
            <w:tcW w:w="414"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rPr>
            </w:pPr>
          </w:p>
        </w:tc>
        <w:tc>
          <w:tcPr>
            <w:tcW w:w="678"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p>
        </w:tc>
        <w:tc>
          <w:tcPr>
            <w:tcW w:w="825"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default" w:ascii="宋体" w:hAnsi="宋体" w:cs="微软雅黑" w:eastAsiaTheme="minorEastAsia"/>
                <w:kern w:val="0"/>
                <w:highlight w:val="none"/>
                <w:shd w:val="clear" w:color="auto" w:fill="FFFFFF"/>
                <w:lang w:val="en-US" w:eastAsia="zh-CN"/>
              </w:rPr>
            </w:pPr>
            <w:r>
              <w:rPr>
                <w:rFonts w:hint="eastAsia" w:ascii="宋体" w:hAnsi="宋体" w:cs="微软雅黑"/>
                <w:kern w:val="0"/>
                <w:highlight w:val="none"/>
                <w:shd w:val="clear" w:color="auto" w:fill="FFFFFF"/>
              </w:rPr>
              <w:t>1）视参与本项目磋商的供应商提供的设备保证供货措施</w:t>
            </w:r>
            <w:r>
              <w:rPr>
                <w:rFonts w:hint="eastAsia" w:ascii="宋体" w:hAnsi="宋体" w:cs="微软雅黑"/>
                <w:kern w:val="0"/>
                <w:highlight w:val="none"/>
                <w:shd w:val="clear" w:color="auto" w:fill="FFFFFF"/>
                <w:lang w:val="en-US" w:eastAsia="zh-CN"/>
              </w:rPr>
              <w:t>方案进行</w:t>
            </w:r>
            <w:r>
              <w:rPr>
                <w:rFonts w:hint="eastAsia" w:ascii="宋体" w:hAnsi="宋体" w:cs="微软雅黑"/>
                <w:kern w:val="0"/>
                <w:highlight w:val="none"/>
                <w:shd w:val="clear" w:color="auto" w:fill="FFFFFF"/>
              </w:rPr>
              <w:t>综合考评</w:t>
            </w:r>
            <w:r>
              <w:rPr>
                <w:rFonts w:hint="eastAsia" w:ascii="宋体" w:hAnsi="宋体" w:cs="微软雅黑"/>
                <w:kern w:val="0"/>
                <w:highlight w:val="none"/>
                <w:shd w:val="clear" w:color="auto" w:fill="FFFFFF"/>
                <w:lang w:eastAsia="zh-CN"/>
              </w:rPr>
              <w:t>，</w:t>
            </w:r>
            <w:r>
              <w:rPr>
                <w:rFonts w:hint="eastAsia" w:ascii="宋体" w:hAnsi="宋体" w:cs="微软雅黑"/>
                <w:kern w:val="0"/>
                <w:highlight w:val="none"/>
                <w:shd w:val="clear" w:color="auto" w:fill="FFFFFF"/>
                <w:lang w:val="en-US" w:eastAsia="zh-CN"/>
              </w:rPr>
              <w:t>满分4分。</w:t>
            </w:r>
          </w:p>
          <w:p>
            <w:pPr>
              <w:snapToGrid w:val="0"/>
              <w:spacing w:line="360" w:lineRule="exact"/>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（1）合理可行的得</w:t>
            </w:r>
            <w:r>
              <w:rPr>
                <w:rFonts w:hint="eastAsia" w:ascii="宋体" w:hAnsi="宋体" w:eastAsia="宋体" w:cs="宋体"/>
                <w:kern w:val="0"/>
                <w:sz w:val="21"/>
                <w:szCs w:val="21"/>
                <w:highlight w:val="none"/>
                <w:shd w:val="clear" w:color="auto" w:fill="FFFFFF"/>
                <w:lang w:val="en-US" w:eastAsia="zh-CN"/>
              </w:rPr>
              <w:t>4</w:t>
            </w:r>
            <w:r>
              <w:rPr>
                <w:rFonts w:hint="eastAsia" w:ascii="宋体" w:hAnsi="宋体" w:eastAsia="宋体" w:cs="宋体"/>
                <w:kern w:val="0"/>
                <w:sz w:val="21"/>
                <w:szCs w:val="21"/>
                <w:highlight w:val="none"/>
                <w:shd w:val="clear" w:color="auto" w:fill="FFFFFF"/>
              </w:rPr>
              <w:t>分；</w:t>
            </w:r>
          </w:p>
          <w:p>
            <w:pPr>
              <w:snapToGrid w:val="0"/>
              <w:spacing w:line="360" w:lineRule="exact"/>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2</w:t>
            </w:r>
            <w:r>
              <w:rPr>
                <w:rFonts w:hint="eastAsia" w:ascii="宋体" w:hAnsi="宋体" w:eastAsia="宋体" w:cs="宋体"/>
                <w:kern w:val="0"/>
                <w:sz w:val="21"/>
                <w:szCs w:val="21"/>
                <w:highlight w:val="none"/>
                <w:shd w:val="clear" w:color="auto" w:fill="FFFFFF"/>
              </w:rPr>
              <w:t>）有不合理之处得</w:t>
            </w:r>
            <w:r>
              <w:rPr>
                <w:rFonts w:hint="eastAsia" w:ascii="宋体" w:hAnsi="宋体" w:eastAsia="宋体" w:cs="宋体"/>
                <w:kern w:val="0"/>
                <w:sz w:val="21"/>
                <w:szCs w:val="21"/>
                <w:highlight w:val="none"/>
                <w:shd w:val="clear" w:color="auto" w:fill="FFFFFF"/>
                <w:lang w:val="en-US" w:eastAsia="zh-CN"/>
              </w:rPr>
              <w:t>2</w:t>
            </w:r>
            <w:r>
              <w:rPr>
                <w:rFonts w:hint="eastAsia" w:ascii="宋体" w:hAnsi="宋体" w:eastAsia="宋体" w:cs="宋体"/>
                <w:kern w:val="0"/>
                <w:sz w:val="21"/>
                <w:szCs w:val="21"/>
                <w:highlight w:val="none"/>
                <w:shd w:val="clear" w:color="auto" w:fill="FFFFFF"/>
              </w:rPr>
              <w:t>分；</w:t>
            </w:r>
          </w:p>
          <w:p>
            <w:pPr>
              <w:snapToGrid w:val="0"/>
              <w:spacing w:line="360" w:lineRule="exact"/>
              <w:rPr>
                <w:rFonts w:hint="eastAsia" w:ascii="宋体" w:hAnsi="宋体" w:eastAsia="宋体" w:cs="宋体"/>
                <w:kern w:val="0"/>
                <w:sz w:val="21"/>
                <w:szCs w:val="21"/>
                <w:highlight w:val="none"/>
                <w:shd w:val="clear" w:color="auto" w:fill="FFFFFF"/>
                <w:lang w:eastAsia="zh-CN"/>
              </w:rPr>
            </w:pP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3</w:t>
            </w: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未提供方案的</w:t>
            </w:r>
            <w:r>
              <w:rPr>
                <w:rFonts w:hint="eastAsia" w:ascii="宋体" w:hAnsi="宋体" w:eastAsia="宋体" w:cs="宋体"/>
                <w:kern w:val="0"/>
                <w:sz w:val="21"/>
                <w:szCs w:val="21"/>
                <w:highlight w:val="none"/>
                <w:shd w:val="clear" w:color="auto" w:fill="FFFFFF"/>
              </w:rPr>
              <w:t>不得分</w:t>
            </w:r>
            <w:r>
              <w:rPr>
                <w:rFonts w:hint="eastAsia" w:ascii="宋体" w:hAnsi="宋体" w:eastAsia="宋体" w:cs="宋体"/>
                <w:kern w:val="0"/>
                <w:sz w:val="21"/>
                <w:szCs w:val="21"/>
                <w:highlight w:val="none"/>
                <w:shd w:val="clear" w:color="auto" w:fill="FFFFFF"/>
                <w:lang w:eastAsia="zh-CN"/>
              </w:rPr>
              <w:t>。</w:t>
            </w:r>
          </w:p>
        </w:tc>
      </w:tr>
      <w:tr>
        <w:tblPrEx>
          <w:tblCellMar>
            <w:top w:w="15" w:type="dxa"/>
            <w:left w:w="15" w:type="dxa"/>
            <w:bottom w:w="15" w:type="dxa"/>
            <w:right w:w="15" w:type="dxa"/>
          </w:tblCellMar>
        </w:tblPrEx>
        <w:trPr>
          <w:trHeight w:val="1516" w:hRule="atLeast"/>
          <w:jc w:val="center"/>
        </w:trPr>
        <w:tc>
          <w:tcPr>
            <w:tcW w:w="414"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rPr>
            </w:pPr>
          </w:p>
        </w:tc>
        <w:tc>
          <w:tcPr>
            <w:tcW w:w="678"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p>
        </w:tc>
        <w:tc>
          <w:tcPr>
            <w:tcW w:w="825"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p>
        </w:tc>
        <w:tc>
          <w:tcPr>
            <w:tcW w:w="3081"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snapToGrid w:val="0"/>
              <w:spacing w:line="360" w:lineRule="exact"/>
              <w:rPr>
                <w:rFonts w:hint="eastAsia"/>
                <w:highlight w:val="none"/>
              </w:rPr>
            </w:pPr>
            <w:r>
              <w:rPr>
                <w:rFonts w:hint="eastAsia" w:ascii="宋体" w:hAnsi="宋体" w:cs="微软雅黑"/>
                <w:kern w:val="0"/>
                <w:highlight w:val="none"/>
                <w:shd w:val="clear" w:color="auto" w:fill="FFFFFF"/>
                <w:lang w:val="en-US" w:eastAsia="zh-CN"/>
              </w:rPr>
              <w:t>2</w:t>
            </w:r>
            <w:r>
              <w:rPr>
                <w:rFonts w:hint="eastAsia" w:ascii="宋体" w:hAnsi="宋体" w:cs="微软雅黑"/>
                <w:kern w:val="0"/>
                <w:highlight w:val="none"/>
                <w:shd w:val="clear" w:color="auto" w:fill="FFFFFF"/>
              </w:rPr>
              <w:t>）</w:t>
            </w:r>
            <w:r>
              <w:rPr>
                <w:rFonts w:hint="eastAsia"/>
                <w:highlight w:val="none"/>
              </w:rPr>
              <w:t>视参与本项目磋商的供应商提供的设备验收等进行综合考评</w:t>
            </w:r>
            <w:r>
              <w:rPr>
                <w:rFonts w:hint="eastAsia"/>
                <w:highlight w:val="none"/>
                <w:lang w:eastAsia="zh-CN"/>
              </w:rPr>
              <w:t>，</w:t>
            </w:r>
            <w:r>
              <w:rPr>
                <w:rFonts w:hint="eastAsia" w:ascii="宋体" w:hAnsi="宋体" w:cs="微软雅黑"/>
                <w:kern w:val="0"/>
                <w:highlight w:val="none"/>
                <w:shd w:val="clear" w:color="auto" w:fill="FFFFFF"/>
                <w:lang w:val="en-US" w:eastAsia="zh-CN"/>
              </w:rPr>
              <w:t>满分5分。</w:t>
            </w:r>
          </w:p>
          <w:p>
            <w:pPr>
              <w:snapToGrid w:val="0"/>
              <w:spacing w:line="360" w:lineRule="exact"/>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（1）合理可行的得</w:t>
            </w:r>
            <w:r>
              <w:rPr>
                <w:rFonts w:hint="eastAsia" w:ascii="宋体" w:hAnsi="宋体" w:eastAsia="宋体" w:cs="宋体"/>
                <w:kern w:val="0"/>
                <w:sz w:val="21"/>
                <w:szCs w:val="21"/>
                <w:highlight w:val="none"/>
                <w:shd w:val="clear" w:color="auto" w:fill="FFFFFF"/>
                <w:lang w:val="en-US" w:eastAsia="zh-CN"/>
              </w:rPr>
              <w:t>5</w:t>
            </w:r>
            <w:r>
              <w:rPr>
                <w:rFonts w:hint="eastAsia" w:ascii="宋体" w:hAnsi="宋体" w:eastAsia="宋体" w:cs="宋体"/>
                <w:kern w:val="0"/>
                <w:sz w:val="21"/>
                <w:szCs w:val="21"/>
                <w:highlight w:val="none"/>
                <w:shd w:val="clear" w:color="auto" w:fill="FFFFFF"/>
              </w:rPr>
              <w:t>分；</w:t>
            </w:r>
          </w:p>
          <w:p>
            <w:pPr>
              <w:snapToGrid w:val="0"/>
              <w:spacing w:line="360" w:lineRule="exact"/>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2</w:t>
            </w:r>
            <w:r>
              <w:rPr>
                <w:rFonts w:hint="eastAsia" w:ascii="宋体" w:hAnsi="宋体" w:eastAsia="宋体" w:cs="宋体"/>
                <w:kern w:val="0"/>
                <w:sz w:val="21"/>
                <w:szCs w:val="21"/>
                <w:highlight w:val="none"/>
                <w:shd w:val="clear" w:color="auto" w:fill="FFFFFF"/>
              </w:rPr>
              <w:t>）有不合理之处得</w:t>
            </w:r>
            <w:r>
              <w:rPr>
                <w:rFonts w:hint="eastAsia" w:ascii="宋体" w:hAnsi="宋体" w:eastAsia="宋体" w:cs="宋体"/>
                <w:kern w:val="0"/>
                <w:sz w:val="21"/>
                <w:szCs w:val="21"/>
                <w:highlight w:val="none"/>
                <w:shd w:val="clear" w:color="auto" w:fill="FFFFFF"/>
                <w:lang w:val="en-US" w:eastAsia="zh-CN"/>
              </w:rPr>
              <w:t>3</w:t>
            </w:r>
            <w:r>
              <w:rPr>
                <w:rFonts w:hint="eastAsia" w:ascii="宋体" w:hAnsi="宋体" w:eastAsia="宋体" w:cs="宋体"/>
                <w:kern w:val="0"/>
                <w:sz w:val="21"/>
                <w:szCs w:val="21"/>
                <w:highlight w:val="none"/>
                <w:shd w:val="clear" w:color="auto" w:fill="FFFFFF"/>
              </w:rPr>
              <w:t>分；</w:t>
            </w:r>
          </w:p>
          <w:p>
            <w:pPr>
              <w:snapToGrid w:val="0"/>
              <w:spacing w:line="360" w:lineRule="exact"/>
              <w:rPr>
                <w:rFonts w:hint="eastAsia" w:eastAsia="宋体"/>
                <w:highlight w:val="none"/>
                <w:lang w:eastAsia="zh-CN"/>
              </w:rPr>
            </w:pP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3</w:t>
            </w: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未提供方案的</w:t>
            </w:r>
            <w:r>
              <w:rPr>
                <w:rFonts w:hint="eastAsia" w:ascii="宋体" w:hAnsi="宋体" w:eastAsia="宋体" w:cs="宋体"/>
                <w:kern w:val="0"/>
                <w:sz w:val="21"/>
                <w:szCs w:val="21"/>
                <w:highlight w:val="none"/>
                <w:shd w:val="clear" w:color="auto" w:fill="FFFFFF"/>
              </w:rPr>
              <w:t>不得分</w:t>
            </w:r>
            <w:r>
              <w:rPr>
                <w:rFonts w:hint="eastAsia" w:ascii="宋体" w:hAnsi="宋体" w:eastAsia="宋体" w:cs="宋体"/>
                <w:kern w:val="0"/>
                <w:sz w:val="21"/>
                <w:szCs w:val="21"/>
                <w:highlight w:val="none"/>
                <w:shd w:val="clear" w:color="auto" w:fill="FFFFFF"/>
                <w:lang w:eastAsia="zh-CN"/>
              </w:rPr>
              <w:t>。</w:t>
            </w:r>
          </w:p>
        </w:tc>
      </w:tr>
      <w:tr>
        <w:tblPrEx>
          <w:tblCellMar>
            <w:top w:w="15" w:type="dxa"/>
            <w:left w:w="15" w:type="dxa"/>
            <w:bottom w:w="15" w:type="dxa"/>
            <w:right w:w="15" w:type="dxa"/>
          </w:tblCellMar>
        </w:tblPrEx>
        <w:trPr>
          <w:trHeight w:val="384" w:hRule="atLeast"/>
          <w:jc w:val="center"/>
        </w:trPr>
        <w:tc>
          <w:tcPr>
            <w:tcW w:w="414" w:type="pct"/>
            <w:vMerge w:val="continue"/>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rPr>
            </w:pPr>
          </w:p>
        </w:tc>
        <w:tc>
          <w:tcPr>
            <w:tcW w:w="678" w:type="pct"/>
            <w:vMerge w:val="continue"/>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highlight w:val="none"/>
              </w:rPr>
            </w:pPr>
          </w:p>
        </w:tc>
        <w:tc>
          <w:tcPr>
            <w:tcW w:w="825" w:type="pct"/>
            <w:vMerge w:val="continue"/>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highlight w:val="none"/>
              </w:rPr>
            </w:pPr>
          </w:p>
        </w:tc>
        <w:tc>
          <w:tcPr>
            <w:tcW w:w="3081" w:type="pct"/>
            <w:tcBorders>
              <w:top w:val="single" w:color="000000" w:sz="4" w:space="0"/>
              <w:left w:val="single" w:color="000000" w:sz="4" w:space="0"/>
              <w:bottom w:val="single" w:color="auto" w:sz="4" w:space="0"/>
              <w:right w:val="single" w:color="000000" w:sz="4" w:space="0"/>
            </w:tcBorders>
            <w:shd w:val="clear" w:color="auto" w:fill="FFFFFF"/>
            <w:noWrap w:val="0"/>
            <w:vAlign w:val="top"/>
          </w:tcPr>
          <w:p>
            <w:pPr>
              <w:numPr>
                <w:ilvl w:val="0"/>
                <w:numId w:val="0"/>
              </w:numPr>
              <w:snapToGrid w:val="0"/>
              <w:spacing w:line="360" w:lineRule="exact"/>
              <w:ind w:leftChars="0"/>
              <w:rPr>
                <w:rFonts w:hint="eastAsia"/>
                <w:highlight w:val="none"/>
              </w:rPr>
            </w:pPr>
            <w:r>
              <w:rPr>
                <w:rFonts w:hint="eastAsia" w:ascii="宋体" w:hAnsi="宋体" w:cs="微软雅黑"/>
                <w:kern w:val="0"/>
                <w:highlight w:val="none"/>
                <w:shd w:val="clear" w:color="auto" w:fill="FFFFFF"/>
                <w:lang w:val="en-US" w:eastAsia="zh-CN"/>
              </w:rPr>
              <w:t>3</w:t>
            </w:r>
            <w:r>
              <w:rPr>
                <w:rFonts w:hint="eastAsia" w:ascii="宋体" w:hAnsi="宋体" w:cs="微软雅黑"/>
                <w:kern w:val="0"/>
                <w:highlight w:val="none"/>
                <w:shd w:val="clear" w:color="auto" w:fill="FFFFFF"/>
              </w:rPr>
              <w:t>）</w:t>
            </w:r>
            <w:r>
              <w:rPr>
                <w:rFonts w:hint="eastAsia"/>
                <w:highlight w:val="none"/>
              </w:rPr>
              <w:t>视参与本项目磋商的供应商提供的设备维护方案进行综合考评</w:t>
            </w:r>
            <w:r>
              <w:rPr>
                <w:rFonts w:hint="eastAsia"/>
                <w:highlight w:val="none"/>
                <w:lang w:eastAsia="zh-CN"/>
              </w:rPr>
              <w:t>，满分</w:t>
            </w:r>
            <w:r>
              <w:rPr>
                <w:rFonts w:hint="eastAsia"/>
                <w:highlight w:val="none"/>
                <w:lang w:val="en-US" w:eastAsia="zh-CN"/>
              </w:rPr>
              <w:t>4</w:t>
            </w:r>
            <w:r>
              <w:rPr>
                <w:rFonts w:hint="eastAsia"/>
                <w:highlight w:val="none"/>
                <w:lang w:eastAsia="zh-CN"/>
              </w:rPr>
              <w:t>分。</w:t>
            </w:r>
          </w:p>
          <w:p>
            <w:pPr>
              <w:snapToGrid w:val="0"/>
              <w:spacing w:line="360" w:lineRule="exact"/>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（1）合理可行的得</w:t>
            </w:r>
            <w:r>
              <w:rPr>
                <w:rFonts w:hint="eastAsia" w:ascii="宋体" w:hAnsi="宋体" w:eastAsia="宋体" w:cs="宋体"/>
                <w:kern w:val="0"/>
                <w:sz w:val="21"/>
                <w:szCs w:val="21"/>
                <w:highlight w:val="none"/>
                <w:shd w:val="clear" w:color="auto" w:fill="FFFFFF"/>
                <w:lang w:val="en-US" w:eastAsia="zh-CN"/>
              </w:rPr>
              <w:t>4</w:t>
            </w:r>
            <w:r>
              <w:rPr>
                <w:rFonts w:hint="eastAsia" w:ascii="宋体" w:hAnsi="宋体" w:eastAsia="宋体" w:cs="宋体"/>
                <w:kern w:val="0"/>
                <w:sz w:val="21"/>
                <w:szCs w:val="21"/>
                <w:highlight w:val="none"/>
                <w:shd w:val="clear" w:color="auto" w:fill="FFFFFF"/>
              </w:rPr>
              <w:t>分；</w:t>
            </w:r>
          </w:p>
          <w:p>
            <w:pPr>
              <w:snapToGrid w:val="0"/>
              <w:spacing w:line="360" w:lineRule="exact"/>
              <w:rPr>
                <w:rFonts w:hint="eastAsia" w:ascii="宋体" w:hAnsi="宋体" w:eastAsia="宋体" w:cs="宋体"/>
                <w:kern w:val="0"/>
                <w:sz w:val="21"/>
                <w:szCs w:val="21"/>
                <w:highlight w:val="none"/>
                <w:shd w:val="clear" w:color="auto" w:fill="FFFFFF"/>
              </w:rPr>
            </w:pP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2</w:t>
            </w:r>
            <w:r>
              <w:rPr>
                <w:rFonts w:hint="eastAsia" w:ascii="宋体" w:hAnsi="宋体" w:eastAsia="宋体" w:cs="宋体"/>
                <w:kern w:val="0"/>
                <w:sz w:val="21"/>
                <w:szCs w:val="21"/>
                <w:highlight w:val="none"/>
                <w:shd w:val="clear" w:color="auto" w:fill="FFFFFF"/>
              </w:rPr>
              <w:t>）有不合理之处得</w:t>
            </w:r>
            <w:r>
              <w:rPr>
                <w:rFonts w:hint="eastAsia" w:ascii="宋体" w:hAnsi="宋体" w:eastAsia="宋体" w:cs="宋体"/>
                <w:kern w:val="0"/>
                <w:sz w:val="21"/>
                <w:szCs w:val="21"/>
                <w:highlight w:val="none"/>
                <w:shd w:val="clear" w:color="auto" w:fill="FFFFFF"/>
                <w:lang w:val="en-US" w:eastAsia="zh-CN"/>
              </w:rPr>
              <w:t>2</w:t>
            </w:r>
            <w:r>
              <w:rPr>
                <w:rFonts w:hint="eastAsia" w:ascii="宋体" w:hAnsi="宋体" w:eastAsia="宋体" w:cs="宋体"/>
                <w:kern w:val="0"/>
                <w:sz w:val="21"/>
                <w:szCs w:val="21"/>
                <w:highlight w:val="none"/>
                <w:shd w:val="clear" w:color="auto" w:fill="FFFFFF"/>
              </w:rPr>
              <w:t>分；</w:t>
            </w:r>
          </w:p>
          <w:p>
            <w:pPr>
              <w:snapToGrid w:val="0"/>
              <w:spacing w:line="360" w:lineRule="exact"/>
              <w:rPr>
                <w:rFonts w:hint="eastAsia"/>
                <w:highlight w:val="none"/>
              </w:rPr>
            </w:pP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3</w:t>
            </w:r>
            <w:r>
              <w:rPr>
                <w:rFonts w:hint="eastAsia" w:ascii="宋体" w:hAnsi="宋体" w:eastAsia="宋体" w:cs="宋体"/>
                <w:kern w:val="0"/>
                <w:sz w:val="21"/>
                <w:szCs w:val="21"/>
                <w:highlight w:val="none"/>
                <w:shd w:val="clear" w:color="auto" w:fill="FFFFFF"/>
              </w:rPr>
              <w:t>）</w:t>
            </w:r>
            <w:r>
              <w:rPr>
                <w:rFonts w:hint="eastAsia" w:ascii="宋体" w:hAnsi="宋体" w:eastAsia="宋体" w:cs="宋体"/>
                <w:kern w:val="0"/>
                <w:sz w:val="21"/>
                <w:szCs w:val="21"/>
                <w:highlight w:val="none"/>
                <w:shd w:val="clear" w:color="auto" w:fill="FFFFFF"/>
                <w:lang w:val="en-US" w:eastAsia="zh-CN"/>
              </w:rPr>
              <w:t>未提供方案的</w:t>
            </w:r>
            <w:r>
              <w:rPr>
                <w:rFonts w:hint="eastAsia" w:ascii="宋体" w:hAnsi="宋体" w:eastAsia="宋体" w:cs="宋体"/>
                <w:kern w:val="0"/>
                <w:sz w:val="21"/>
                <w:szCs w:val="21"/>
                <w:highlight w:val="none"/>
                <w:shd w:val="clear" w:color="auto" w:fill="FFFFFF"/>
              </w:rPr>
              <w:t>不得分。</w:t>
            </w:r>
          </w:p>
        </w:tc>
      </w:tr>
      <w:tr>
        <w:tblPrEx>
          <w:tblCellMar>
            <w:top w:w="15" w:type="dxa"/>
            <w:left w:w="15" w:type="dxa"/>
            <w:bottom w:w="15" w:type="dxa"/>
            <w:right w:w="15" w:type="dxa"/>
          </w:tblCellMar>
        </w:tblPrEx>
        <w:trPr>
          <w:trHeight w:val="7698"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rPr>
            </w:pPr>
            <w:r>
              <w:rPr>
                <w:rFonts w:hint="eastAsia" w:hAnsi="宋体" w:cs="宋体"/>
                <w:szCs w:val="21"/>
                <w:highlight w:val="none"/>
              </w:rPr>
              <w:t>设备</w:t>
            </w:r>
            <w:r>
              <w:rPr>
                <w:rFonts w:hint="eastAsia" w:ascii="宋体" w:hAnsi="宋体" w:cs="宋体"/>
                <w:szCs w:val="21"/>
                <w:highlight w:val="none"/>
              </w:rPr>
              <w:t>安装</w:t>
            </w:r>
            <w:r>
              <w:rPr>
                <w:rFonts w:hint="eastAsia" w:hAnsi="宋体" w:cs="宋体"/>
                <w:szCs w:val="21"/>
                <w:highlight w:val="none"/>
              </w:rPr>
              <w:t>调试</w:t>
            </w:r>
            <w:r>
              <w:rPr>
                <w:rFonts w:hint="eastAsia" w:hAnsi="宋体" w:cs="宋体"/>
                <w:szCs w:val="21"/>
                <w:highlight w:val="none"/>
                <w:lang w:eastAsia="zh-CN"/>
              </w:rPr>
              <w:t>及</w:t>
            </w:r>
            <w:r>
              <w:rPr>
                <w:rFonts w:hint="eastAsia" w:ascii="宋体" w:hAnsi="宋体" w:cs="宋体"/>
                <w:szCs w:val="21"/>
                <w:highlight w:val="none"/>
              </w:rPr>
              <w:t>工艺要求</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snapToGrid w:val="0"/>
              <w:spacing w:line="360" w:lineRule="auto"/>
              <w:rPr>
                <w:rFonts w:hint="eastAsia" w:hAnsi="宋体" w:cs="宋体"/>
                <w:szCs w:val="21"/>
                <w:highlight w:val="none"/>
              </w:rPr>
            </w:pPr>
            <w:r>
              <w:rPr>
                <w:rFonts w:hint="eastAsia" w:ascii="宋体" w:hAnsi="宋体" w:eastAsia="宋体" w:cs="宋体"/>
                <w:kern w:val="0"/>
                <w:sz w:val="21"/>
                <w:szCs w:val="21"/>
                <w:highlight w:val="none"/>
                <w:shd w:val="clear" w:color="auto" w:fill="FFFFFF"/>
                <w:lang w:val="en-US" w:eastAsia="zh-CN" w:bidi="ar-SA"/>
              </w:rPr>
              <w:t>依据本项目特点，结合甲方需求和现场踏勘</w:t>
            </w:r>
            <w:r>
              <w:rPr>
                <w:rFonts w:hint="eastAsia" w:hAnsi="宋体" w:eastAsia="宋体" w:cs="宋体"/>
                <w:kern w:val="0"/>
                <w:sz w:val="21"/>
                <w:szCs w:val="21"/>
                <w:highlight w:val="none"/>
                <w:shd w:val="clear" w:color="auto" w:fill="FFFFFF"/>
                <w:lang w:val="en-US" w:eastAsia="zh-CN" w:bidi="ar-SA"/>
              </w:rPr>
              <w:t>：</w:t>
            </w:r>
          </w:p>
          <w:p>
            <w:pPr>
              <w:pStyle w:val="10"/>
              <w:snapToGrid w:val="0"/>
              <w:spacing w:line="360" w:lineRule="auto"/>
              <w:rPr>
                <w:rFonts w:hAnsi="宋体" w:cs="宋体"/>
                <w:szCs w:val="21"/>
                <w:highlight w:val="none"/>
              </w:rPr>
            </w:pPr>
            <w:r>
              <w:rPr>
                <w:rFonts w:hint="eastAsia" w:hAnsi="宋体" w:cs="宋体"/>
                <w:szCs w:val="21"/>
                <w:highlight w:val="none"/>
              </w:rPr>
              <w:t>1</w:t>
            </w:r>
            <w:r>
              <w:rPr>
                <w:rFonts w:hint="eastAsia" w:hAnsi="宋体" w:cs="宋体"/>
                <w:szCs w:val="21"/>
                <w:highlight w:val="none"/>
                <w:lang w:val="en-US" w:eastAsia="zh-CN"/>
              </w:rPr>
              <w:t>.</w:t>
            </w:r>
            <w:r>
              <w:rPr>
                <w:rFonts w:hint="eastAsia" w:hAnsi="宋体" w:cs="宋体"/>
                <w:szCs w:val="21"/>
                <w:highlight w:val="none"/>
              </w:rPr>
              <w:t>在安装安排中确定安装顺序及施工流水段，满分</w:t>
            </w:r>
            <w:r>
              <w:rPr>
                <w:rFonts w:hint="eastAsia" w:hAnsi="宋体" w:cs="宋体"/>
                <w:szCs w:val="21"/>
                <w:highlight w:val="none"/>
                <w:lang w:val="en-US" w:eastAsia="zh-CN"/>
              </w:rPr>
              <w:t>2</w:t>
            </w:r>
            <w:r>
              <w:rPr>
                <w:rFonts w:hint="eastAsia" w:hAnsi="宋体" w:cs="宋体"/>
                <w:szCs w:val="21"/>
                <w:highlight w:val="none"/>
              </w:rPr>
              <w:t>分。</w:t>
            </w:r>
          </w:p>
          <w:p>
            <w:pPr>
              <w:pStyle w:val="10"/>
              <w:snapToGrid w:val="0"/>
              <w:spacing w:line="360" w:lineRule="auto"/>
              <w:rPr>
                <w:rFonts w:hAnsi="宋体" w:cs="Arial Unicode MS"/>
                <w:szCs w:val="21"/>
                <w:highlight w:val="none"/>
                <w:u w:color="000000"/>
              </w:rPr>
            </w:pPr>
            <w:r>
              <w:rPr>
                <w:rFonts w:hint="eastAsia" w:hAnsi="宋体" w:cs="Arial Unicode MS"/>
                <w:szCs w:val="21"/>
                <w:highlight w:val="none"/>
                <w:u w:color="000000"/>
              </w:rPr>
              <w:t>（1）合理可行的得</w:t>
            </w:r>
            <w:r>
              <w:rPr>
                <w:rFonts w:hint="eastAsia" w:hAnsi="宋体" w:cs="Arial Unicode MS"/>
                <w:szCs w:val="21"/>
                <w:highlight w:val="none"/>
                <w:u w:color="000000"/>
                <w:lang w:val="en-US" w:eastAsia="zh-CN"/>
              </w:rPr>
              <w:t>2</w:t>
            </w:r>
            <w:r>
              <w:rPr>
                <w:rFonts w:hint="eastAsia" w:hAnsi="宋体" w:cs="Arial Unicode MS"/>
                <w:szCs w:val="21"/>
                <w:highlight w:val="none"/>
                <w:u w:color="000000"/>
              </w:rPr>
              <w:t>分；</w:t>
            </w:r>
          </w:p>
          <w:p>
            <w:pPr>
              <w:pStyle w:val="10"/>
              <w:snapToGrid w:val="0"/>
              <w:spacing w:line="360" w:lineRule="auto"/>
              <w:rPr>
                <w:rFonts w:hAnsi="宋体" w:cs="Arial Unicode MS"/>
                <w:szCs w:val="21"/>
                <w:highlight w:val="none"/>
                <w:u w:color="000000"/>
              </w:rPr>
            </w:pPr>
            <w:r>
              <w:rPr>
                <w:rFonts w:hint="eastAsia" w:hAnsi="宋体" w:cs="Arial Unicode MS"/>
                <w:szCs w:val="21"/>
                <w:highlight w:val="none"/>
                <w:u w:color="000000"/>
              </w:rPr>
              <w:t>（2）有不合理之处得</w:t>
            </w:r>
            <w:r>
              <w:rPr>
                <w:rFonts w:hint="eastAsia" w:hAnsi="宋体" w:cs="Arial Unicode MS"/>
                <w:szCs w:val="21"/>
                <w:highlight w:val="none"/>
                <w:u w:color="000000"/>
                <w:lang w:val="en-US" w:eastAsia="zh-CN"/>
              </w:rPr>
              <w:t>1</w:t>
            </w:r>
            <w:r>
              <w:rPr>
                <w:rFonts w:hint="eastAsia" w:hAnsi="宋体" w:cs="Arial Unicode MS"/>
                <w:szCs w:val="21"/>
                <w:highlight w:val="none"/>
                <w:u w:color="000000"/>
              </w:rPr>
              <w:t>分；</w:t>
            </w:r>
          </w:p>
          <w:p>
            <w:pPr>
              <w:pStyle w:val="10"/>
              <w:snapToGrid w:val="0"/>
              <w:spacing w:line="360" w:lineRule="auto"/>
              <w:rPr>
                <w:rFonts w:hAnsi="宋体" w:cs="Arial Unicode MS"/>
                <w:szCs w:val="21"/>
                <w:highlight w:val="none"/>
                <w:u w:color="000000"/>
              </w:rPr>
            </w:pPr>
            <w:r>
              <w:rPr>
                <w:rFonts w:hint="eastAsia" w:hAnsi="宋体" w:cs="Arial Unicode MS"/>
                <w:szCs w:val="21"/>
                <w:highlight w:val="none"/>
                <w:u w:color="000000"/>
              </w:rPr>
              <w:t>（3）未提供方案的不得分。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hAnsi="宋体" w:eastAsia="宋体" w:cs="宋体"/>
                <w:kern w:val="0"/>
                <w:sz w:val="21"/>
                <w:szCs w:val="21"/>
                <w:highlight w:val="none"/>
                <w:shd w:val="clear" w:color="auto" w:fill="FFFFFF"/>
                <w:lang w:val="en-US" w:eastAsia="zh-CN" w:bidi="ar-SA"/>
              </w:rPr>
              <w:t>2</w:t>
            </w:r>
            <w:r>
              <w:rPr>
                <w:rFonts w:hint="eastAsia" w:ascii="宋体" w:hAnsi="宋体" w:eastAsia="宋体" w:cs="宋体"/>
                <w:kern w:val="0"/>
                <w:sz w:val="21"/>
                <w:szCs w:val="21"/>
                <w:highlight w:val="none"/>
                <w:shd w:val="clear" w:color="auto" w:fill="FFFFFF"/>
                <w:lang w:val="en-US" w:eastAsia="zh-CN" w:bidi="ar-SA"/>
              </w:rPr>
              <w:t>.针对项目的重点和难点，进行安装安排并简述主要管理和技术措施，满分</w:t>
            </w:r>
            <w:r>
              <w:rPr>
                <w:rFonts w:hint="eastAsia" w:hAnsi="宋体" w:eastAsia="宋体" w:cs="宋体"/>
                <w:kern w:val="0"/>
                <w:sz w:val="21"/>
                <w:szCs w:val="21"/>
                <w:highlight w:val="none"/>
                <w:shd w:val="clear" w:color="auto" w:fill="FFFFFF"/>
                <w:lang w:val="en-US" w:eastAsia="zh-CN" w:bidi="ar-SA"/>
              </w:rPr>
              <w:t>3</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（1）合理可行的得</w:t>
            </w:r>
            <w:r>
              <w:rPr>
                <w:rFonts w:hint="eastAsia" w:hAnsi="宋体" w:eastAsia="宋体" w:cs="宋体"/>
                <w:kern w:val="0"/>
                <w:sz w:val="21"/>
                <w:szCs w:val="21"/>
                <w:highlight w:val="none"/>
                <w:shd w:val="clear" w:color="auto" w:fill="FFFFFF"/>
                <w:lang w:val="en-US" w:eastAsia="zh-CN" w:bidi="ar-SA"/>
              </w:rPr>
              <w:t>3</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（2）有不合理之处得</w:t>
            </w:r>
            <w:r>
              <w:rPr>
                <w:rFonts w:hint="eastAsia" w:hAnsi="宋体" w:eastAsia="宋体" w:cs="宋体"/>
                <w:kern w:val="0"/>
                <w:sz w:val="21"/>
                <w:szCs w:val="21"/>
                <w:highlight w:val="none"/>
                <w:shd w:val="clear" w:color="auto" w:fill="FFFFFF"/>
                <w:lang w:val="en-US" w:eastAsia="zh-CN" w:bidi="ar-SA"/>
              </w:rPr>
              <w:t>1</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（3）未提供方案的不得分。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hAnsi="宋体" w:eastAsia="宋体" w:cs="宋体"/>
                <w:kern w:val="0"/>
                <w:sz w:val="21"/>
                <w:szCs w:val="21"/>
                <w:highlight w:val="none"/>
                <w:shd w:val="clear" w:color="auto" w:fill="FFFFFF"/>
                <w:lang w:val="en-US" w:eastAsia="zh-CN" w:bidi="ar-SA"/>
              </w:rPr>
              <w:t>3</w:t>
            </w:r>
            <w:r>
              <w:rPr>
                <w:rFonts w:hint="eastAsia" w:ascii="宋体" w:hAnsi="宋体" w:eastAsia="宋体" w:cs="宋体"/>
                <w:kern w:val="0"/>
                <w:sz w:val="21"/>
                <w:szCs w:val="21"/>
                <w:highlight w:val="none"/>
                <w:shd w:val="clear" w:color="auto" w:fill="FFFFFF"/>
                <w:lang w:val="en-US" w:eastAsia="zh-CN" w:bidi="ar-SA"/>
              </w:rPr>
              <w:t>.物资配置计划：包括工程材料和设备配置计划、安装机具配置计划以及计量、测量和检验仪器等配置计划，满分</w:t>
            </w:r>
            <w:r>
              <w:rPr>
                <w:rFonts w:hint="eastAsia" w:hAnsi="宋体" w:eastAsia="宋体" w:cs="宋体"/>
                <w:kern w:val="0"/>
                <w:sz w:val="21"/>
                <w:szCs w:val="21"/>
                <w:highlight w:val="none"/>
                <w:shd w:val="clear" w:color="auto" w:fill="FFFFFF"/>
                <w:lang w:val="en-US" w:eastAsia="zh-CN" w:bidi="ar-SA"/>
              </w:rPr>
              <w:t>3</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（1）合理可行的得</w:t>
            </w:r>
            <w:r>
              <w:rPr>
                <w:rFonts w:hint="eastAsia" w:hAnsi="宋体" w:eastAsia="宋体" w:cs="宋体"/>
                <w:kern w:val="0"/>
                <w:sz w:val="21"/>
                <w:szCs w:val="21"/>
                <w:highlight w:val="none"/>
                <w:shd w:val="clear" w:color="auto" w:fill="FFFFFF"/>
                <w:lang w:val="en-US" w:eastAsia="zh-CN" w:bidi="ar-SA"/>
              </w:rPr>
              <w:t>3</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（2）有不合理之处得</w:t>
            </w:r>
            <w:r>
              <w:rPr>
                <w:rFonts w:hint="eastAsia" w:hAnsi="宋体" w:eastAsia="宋体" w:cs="宋体"/>
                <w:kern w:val="0"/>
                <w:sz w:val="21"/>
                <w:szCs w:val="21"/>
                <w:highlight w:val="none"/>
                <w:shd w:val="clear" w:color="auto" w:fill="FFFFFF"/>
                <w:lang w:val="en-US" w:eastAsia="zh-CN" w:bidi="ar-SA"/>
              </w:rPr>
              <w:t>1</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（3）未提供方案的不得分。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hAnsi="宋体" w:eastAsia="宋体" w:cs="宋体"/>
                <w:kern w:val="0"/>
                <w:sz w:val="21"/>
                <w:szCs w:val="21"/>
                <w:highlight w:val="none"/>
                <w:shd w:val="clear" w:color="auto" w:fill="FFFFFF"/>
                <w:lang w:val="en-US" w:eastAsia="zh-CN" w:bidi="ar-SA"/>
              </w:rPr>
              <w:t>4</w:t>
            </w:r>
            <w:r>
              <w:rPr>
                <w:rFonts w:hint="eastAsia" w:ascii="宋体" w:hAnsi="宋体" w:eastAsia="宋体" w:cs="宋体"/>
                <w:kern w:val="0"/>
                <w:sz w:val="21"/>
                <w:szCs w:val="21"/>
                <w:highlight w:val="none"/>
                <w:shd w:val="clear" w:color="auto" w:fill="FFFFFF"/>
                <w:lang w:val="en-US" w:eastAsia="zh-CN" w:bidi="ar-SA"/>
              </w:rPr>
              <w:t>.主要安装方法</w:t>
            </w:r>
            <w:r>
              <w:rPr>
                <w:rFonts w:hint="eastAsia" w:hAnsi="宋体" w:eastAsia="宋体" w:cs="宋体"/>
                <w:kern w:val="0"/>
                <w:sz w:val="21"/>
                <w:szCs w:val="21"/>
                <w:highlight w:val="none"/>
                <w:shd w:val="clear" w:color="auto" w:fill="FFFFFF"/>
                <w:lang w:val="en-US" w:eastAsia="zh-CN" w:bidi="ar-SA"/>
              </w:rPr>
              <w:t>，</w:t>
            </w:r>
            <w:r>
              <w:rPr>
                <w:rFonts w:hint="eastAsia" w:ascii="宋体" w:hAnsi="宋体" w:eastAsia="宋体" w:cs="宋体"/>
                <w:kern w:val="0"/>
                <w:sz w:val="21"/>
                <w:szCs w:val="21"/>
                <w:highlight w:val="none"/>
                <w:shd w:val="clear" w:color="auto" w:fill="FFFFFF"/>
                <w:lang w:val="en-US" w:eastAsia="zh-CN" w:bidi="ar-SA"/>
              </w:rPr>
              <w:t>针对重点安装部位的安装方法</w:t>
            </w:r>
            <w:r>
              <w:rPr>
                <w:rFonts w:hint="eastAsia" w:hAnsi="宋体" w:eastAsia="宋体" w:cs="宋体"/>
                <w:kern w:val="0"/>
                <w:sz w:val="21"/>
                <w:szCs w:val="21"/>
                <w:highlight w:val="none"/>
                <w:shd w:val="clear" w:color="auto" w:fill="FFFFFF"/>
                <w:lang w:val="en-US" w:eastAsia="zh-CN" w:bidi="ar-SA"/>
              </w:rPr>
              <w:t>是否齐全，</w:t>
            </w:r>
            <w:r>
              <w:rPr>
                <w:rFonts w:hint="eastAsia" w:ascii="宋体" w:hAnsi="宋体" w:eastAsia="宋体" w:cs="宋体"/>
                <w:kern w:val="0"/>
                <w:sz w:val="21"/>
                <w:szCs w:val="21"/>
                <w:highlight w:val="none"/>
                <w:shd w:val="clear" w:color="auto" w:fill="FFFFFF"/>
                <w:lang w:val="en-US" w:eastAsia="zh-CN" w:bidi="ar-SA"/>
              </w:rPr>
              <w:t>情况描述是否详细，能否切实指导安装，满分</w:t>
            </w:r>
            <w:r>
              <w:rPr>
                <w:rFonts w:hint="eastAsia" w:hAnsi="宋体" w:eastAsia="宋体" w:cs="宋体"/>
                <w:kern w:val="0"/>
                <w:sz w:val="21"/>
                <w:szCs w:val="21"/>
                <w:highlight w:val="none"/>
                <w:shd w:val="clear" w:color="auto" w:fill="FFFFFF"/>
                <w:lang w:val="en-US" w:eastAsia="zh-CN" w:bidi="ar-SA"/>
              </w:rPr>
              <w:t>3</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（1）合理可行的得</w:t>
            </w:r>
            <w:r>
              <w:rPr>
                <w:rFonts w:hint="eastAsia" w:hAnsi="宋体" w:eastAsia="宋体" w:cs="宋体"/>
                <w:kern w:val="0"/>
                <w:sz w:val="21"/>
                <w:szCs w:val="21"/>
                <w:highlight w:val="none"/>
                <w:shd w:val="clear" w:color="auto" w:fill="FFFFFF"/>
                <w:lang w:val="en-US" w:eastAsia="zh-CN" w:bidi="ar-SA"/>
              </w:rPr>
              <w:t>3</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（2）有不合理之处得</w:t>
            </w:r>
            <w:r>
              <w:rPr>
                <w:rFonts w:hint="eastAsia" w:hAnsi="宋体" w:eastAsia="宋体" w:cs="宋体"/>
                <w:kern w:val="0"/>
                <w:sz w:val="21"/>
                <w:szCs w:val="21"/>
                <w:highlight w:val="none"/>
                <w:shd w:val="clear" w:color="auto" w:fill="FFFFFF"/>
                <w:lang w:val="en-US" w:eastAsia="zh-CN" w:bidi="ar-SA"/>
              </w:rPr>
              <w:t>1</w:t>
            </w:r>
            <w:r>
              <w:rPr>
                <w:rFonts w:hint="eastAsia" w:ascii="宋体" w:hAnsi="宋体" w:eastAsia="宋体" w:cs="宋体"/>
                <w:kern w:val="0"/>
                <w:sz w:val="21"/>
                <w:szCs w:val="21"/>
                <w:highlight w:val="none"/>
                <w:shd w:val="clear" w:color="auto" w:fill="FFFFFF"/>
                <w:lang w:val="en-US" w:eastAsia="zh-CN" w:bidi="ar-SA"/>
              </w:rPr>
              <w:t>分；</w:t>
            </w:r>
          </w:p>
          <w:p>
            <w:pPr>
              <w:pStyle w:val="10"/>
              <w:snapToGrid w:val="0"/>
              <w:spacing w:line="360" w:lineRule="auto"/>
              <w:rPr>
                <w:rFonts w:hint="eastAsia" w:ascii="宋体" w:hAnsi="宋体" w:eastAsia="宋体" w:cs="宋体"/>
                <w:kern w:val="0"/>
                <w:sz w:val="21"/>
                <w:szCs w:val="21"/>
                <w:highlight w:val="none"/>
                <w:shd w:val="clear" w:color="auto" w:fill="FFFFFF"/>
                <w:lang w:val="en-US" w:eastAsia="zh-CN"/>
              </w:rPr>
            </w:pPr>
            <w:r>
              <w:rPr>
                <w:rFonts w:hint="eastAsia" w:ascii="宋体" w:hAnsi="宋体" w:eastAsia="宋体" w:cs="宋体"/>
                <w:kern w:val="0"/>
                <w:sz w:val="21"/>
                <w:szCs w:val="21"/>
                <w:highlight w:val="none"/>
                <w:shd w:val="clear" w:color="auto" w:fill="FFFFFF"/>
                <w:lang w:val="en-US" w:eastAsia="zh-CN" w:bidi="ar-SA"/>
              </w:rPr>
              <w:t>（3）未提供方案的不得分。</w:t>
            </w:r>
          </w:p>
        </w:tc>
      </w:tr>
      <w:tr>
        <w:tblPrEx>
          <w:tblCellMar>
            <w:top w:w="15" w:type="dxa"/>
            <w:left w:w="15" w:type="dxa"/>
            <w:bottom w:w="15" w:type="dxa"/>
            <w:right w:w="15" w:type="dxa"/>
          </w:tblCellMar>
        </w:tblPrEx>
        <w:trPr>
          <w:trHeight w:val="1728"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售后服务</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eastAsia"/>
                <w:highlight w:val="none"/>
                <w:lang w:val="en-US" w:eastAsia="zh-CN"/>
              </w:rPr>
            </w:pPr>
            <w:r>
              <w:rPr>
                <w:rFonts w:hint="eastAsia" w:ascii="宋体" w:hAnsi="宋体" w:eastAsia="宋体" w:cs="宋体"/>
                <w:kern w:val="0"/>
                <w:sz w:val="21"/>
                <w:szCs w:val="21"/>
                <w:highlight w:val="none"/>
                <w:shd w:val="clear" w:color="auto" w:fill="FFFFFF"/>
                <w:lang w:val="en-US" w:eastAsia="zh-CN"/>
              </w:rPr>
              <w:t>1)对使用所发生的故障，7x24 小时技术支持服务及自故障发生通告时的 2 个小时之内的现场服务支持；满足要求得4分；服务标准低于此要求得2分；没有不得分。</w:t>
            </w:r>
          </w:p>
          <w:p>
            <w:pPr>
              <w:snapToGrid w:val="0"/>
              <w:spacing w:line="360" w:lineRule="exact"/>
              <w:rPr>
                <w:rFonts w:hint="default"/>
                <w:highlight w:val="none"/>
                <w:lang w:val="en-US" w:eastAsia="zh-CN"/>
              </w:rPr>
            </w:pPr>
            <w:r>
              <w:rPr>
                <w:rFonts w:hint="eastAsia" w:ascii="宋体" w:hAnsi="宋体" w:eastAsia="宋体" w:cs="宋体"/>
                <w:kern w:val="0"/>
                <w:sz w:val="21"/>
                <w:szCs w:val="21"/>
                <w:highlight w:val="none"/>
                <w:shd w:val="clear" w:color="auto" w:fill="FFFFFF"/>
                <w:lang w:val="en-US" w:eastAsia="zh-CN"/>
              </w:rPr>
              <w:t>2）质保期每增加一年得1分，最多得2分；没有承诺不得分（注：质保期为5年）。</w:t>
            </w:r>
          </w:p>
        </w:tc>
      </w:tr>
      <w:tr>
        <w:tblPrEx>
          <w:tblCellMar>
            <w:top w:w="15" w:type="dxa"/>
            <w:left w:w="15" w:type="dxa"/>
            <w:bottom w:w="15" w:type="dxa"/>
            <w:right w:w="15" w:type="dxa"/>
          </w:tblCellMar>
        </w:tblPrEx>
        <w:trPr>
          <w:trHeight w:val="1664"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四</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价格评分</w:t>
            </w:r>
          </w:p>
          <w:p>
            <w:pPr>
              <w:spacing w:line="3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30</w:t>
            </w:r>
            <w:r>
              <w:rPr>
                <w:rFonts w:hint="eastAsia" w:ascii="宋体" w:hAnsi="宋体" w:eastAsia="宋体" w:cs="宋体"/>
                <w:kern w:val="0"/>
                <w:sz w:val="21"/>
                <w:szCs w:val="21"/>
                <w:highlight w:val="none"/>
              </w:rPr>
              <w:t>）</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最后报价（</w:t>
            </w:r>
            <w:r>
              <w:rPr>
                <w:rFonts w:hint="eastAsia" w:ascii="宋体" w:hAnsi="宋体" w:eastAsia="宋体" w:cs="宋体"/>
                <w:kern w:val="0"/>
                <w:sz w:val="21"/>
                <w:szCs w:val="21"/>
                <w:highlight w:val="none"/>
                <w:lang w:val="en-US" w:eastAsia="zh-CN"/>
              </w:rPr>
              <w:t>30</w:t>
            </w:r>
            <w:r>
              <w:rPr>
                <w:rFonts w:hint="eastAsia" w:ascii="宋体" w:hAnsi="宋体" w:eastAsia="宋体" w:cs="宋体"/>
                <w:kern w:val="0"/>
                <w:sz w:val="21"/>
                <w:szCs w:val="21"/>
                <w:highlight w:val="none"/>
              </w:rPr>
              <w:t>）</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满足磋商文件中要求且最后报价最低的供应商的价格为磋商基准价，其价格分为满分。其他供应商的价格分统一按照下列公式计算：</w:t>
            </w:r>
          </w:p>
          <w:p>
            <w:pPr>
              <w:spacing w:line="3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磋商报价得分=（磋商基准价/最后磋商报价）×30%×100</w:t>
            </w:r>
          </w:p>
          <w:p>
            <w:pPr>
              <w:spacing w:line="300" w:lineRule="exact"/>
              <w:jc w:val="left"/>
              <w:rPr>
                <w:rFonts w:hint="eastAsia" w:ascii="宋体" w:hAnsi="宋体" w:eastAsia="宋体" w:cs="宋体"/>
                <w:sz w:val="21"/>
                <w:szCs w:val="21"/>
                <w:highlight w:val="none"/>
                <w:shd w:val="clear" w:color="auto" w:fill="FFFFFF"/>
              </w:rPr>
            </w:pPr>
            <w:r>
              <w:rPr>
                <w:rFonts w:hint="eastAsia" w:ascii="宋体" w:hAnsi="宋体" w:eastAsia="宋体" w:cs="宋体"/>
                <w:kern w:val="0"/>
                <w:sz w:val="21"/>
                <w:szCs w:val="21"/>
                <w:highlight w:val="none"/>
              </w:rPr>
              <w:t>(计算结果保留至小数点后两位)</w:t>
            </w:r>
          </w:p>
        </w:tc>
      </w:tr>
      <w:tr>
        <w:tblPrEx>
          <w:tblCellMar>
            <w:top w:w="15" w:type="dxa"/>
            <w:left w:w="15" w:type="dxa"/>
            <w:bottom w:w="15" w:type="dxa"/>
            <w:right w:w="15" w:type="dxa"/>
          </w:tblCellMar>
        </w:tblPrEx>
        <w:trPr>
          <w:trHeight w:val="554" w:hRule="atLeast"/>
          <w:jc w:val="center"/>
        </w:trPr>
        <w:tc>
          <w:tcPr>
            <w:tcW w:w="41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1"/>
                <w:szCs w:val="21"/>
                <w:highlight w:val="none"/>
              </w:rPr>
            </w:pPr>
          </w:p>
        </w:tc>
        <w:tc>
          <w:tcPr>
            <w:tcW w:w="6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合计</w:t>
            </w:r>
          </w:p>
        </w:tc>
        <w:tc>
          <w:tcPr>
            <w:tcW w:w="8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100</w:t>
            </w:r>
          </w:p>
        </w:tc>
        <w:tc>
          <w:tcPr>
            <w:tcW w:w="30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kern w:val="0"/>
                <w:sz w:val="21"/>
                <w:szCs w:val="21"/>
                <w:highlight w:val="none"/>
              </w:rPr>
            </w:pPr>
          </w:p>
        </w:tc>
      </w:tr>
    </w:tbl>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十九</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确定成交供应商的原则</w:t>
      </w:r>
    </w:p>
    <w:p>
      <w:pPr>
        <w:snapToGrid w:val="0"/>
        <w:spacing w:line="360" w:lineRule="auto"/>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将供应商的综合得分按从高到低顺序排列，排在第一位的即为成交候选供应商。得分相同时，按最后报价由低到高顺序推荐；得分相同且最后报价相同的，按技术</w:t>
      </w:r>
      <w:r>
        <w:rPr>
          <w:rFonts w:hint="eastAsia" w:ascii="宋体" w:hAnsi="宋体" w:eastAsia="宋体" w:cs="宋体"/>
          <w:sz w:val="21"/>
          <w:szCs w:val="21"/>
          <w:highlight w:val="none"/>
          <w:lang w:eastAsia="zh-CN"/>
        </w:rPr>
        <w:t>部分得分由高到低的</w:t>
      </w:r>
      <w:r>
        <w:rPr>
          <w:rFonts w:hint="eastAsia" w:ascii="宋体" w:hAnsi="宋体" w:eastAsia="宋体" w:cs="宋体"/>
          <w:sz w:val="21"/>
          <w:szCs w:val="21"/>
          <w:highlight w:val="none"/>
        </w:rPr>
        <w:t>顺序推荐</w:t>
      </w:r>
      <w:r>
        <w:rPr>
          <w:rFonts w:hint="eastAsia" w:ascii="宋体" w:hAnsi="宋体" w:eastAsia="宋体" w:cs="宋体"/>
          <w:sz w:val="21"/>
          <w:szCs w:val="21"/>
          <w:highlight w:val="none"/>
          <w:lang w:eastAsia="zh-CN"/>
        </w:rPr>
        <w:t>；技术部分得分也相同的，由采购人委托磋商小组采取随机抽取的方式确定成交供应商。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1、磋商小组依据评审方法和原则确定成交供应商。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2、如供应商对成交结果有异议，请当场以书面形式提出，由磋商小组以书面形式进行回复，其他任何形式的回复无效。</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3、排名第一的成交候选人不与采购人签订合同的，采购人可以按原磋商小组提出的成交候选人名单排序依次限价顺延其他成交候选人为成交人。</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4、成交公告和成交通知书</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代理机构负责发布成交公告，同时向成交供应商发出《成交通知书》，《成交通知书》是《合同》的一个组成部分。</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二十、合同的签订</w:t>
      </w:r>
    </w:p>
    <w:p>
      <w:pPr>
        <w:pStyle w:val="1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（一）成交供应商应按《成交通知书》规定的时间与采购人签订采购合同，所签订的合同不得对竞争性磋商文件和成交供应商响应文件作实质性修改；</w:t>
      </w:r>
    </w:p>
    <w:p>
      <w:pPr>
        <w:pStyle w:val="17"/>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（二）采购人不得向成交人提出任何不合理的要求，作为签订合同的条件，不得与成交人私下订立违背合同实质性内容的协议；</w:t>
      </w:r>
    </w:p>
    <w:p>
      <w:pPr>
        <w:pStyle w:val="1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（三）竞争性磋商文件、成交供应商响应文件及评审过程中有关澄清文件均为合同的必要组成部分，与合同具有同等法律效力；</w:t>
      </w:r>
    </w:p>
    <w:p>
      <w:pPr>
        <w:pStyle w:val="17"/>
        <w:spacing w:before="0" w:beforeAutospacing="0" w:after="0" w:afterAutospacing="0" w:line="360" w:lineRule="auto"/>
        <w:ind w:firstLine="420"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（四）采购人负责合同的审核、签订、履约及验收工作，相关监管部门负责对合同签订、合同履约及验收进行监督检查</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、履约金</w:t>
      </w:r>
    </w:p>
    <w:p>
      <w:pPr>
        <w:snapToGrid w:val="0"/>
        <w:spacing w:line="360" w:lineRule="auto"/>
        <w:ind w:firstLine="525" w:firstLineChars="25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无。</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w:t>
      </w: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、资金结算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合同签订后甲方首次付款为合同额的45%（同时提供合同额100%的发票），货到现场安装调试验收合格后付款合同额的50%，留合同额的5%作为质保金，预留6个月。</w:t>
      </w:r>
    </w:p>
    <w:p>
      <w:pPr>
        <w:snapToGrid w:val="0"/>
        <w:spacing w:line="360" w:lineRule="auto"/>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55" w:name="_Toc26551"/>
    </w:p>
    <w:p>
      <w:pPr>
        <w:snapToGrid w:val="0"/>
        <w:spacing w:line="360" w:lineRule="auto"/>
        <w:jc w:val="center"/>
        <w:outlineLvl w:val="0"/>
        <w:rPr>
          <w:rFonts w:hint="eastAsia" w:ascii="黑体" w:hAnsi="黑体" w:eastAsia="黑体" w:cs="黑体"/>
          <w:b/>
          <w:bCs/>
          <w:sz w:val="36"/>
          <w:szCs w:val="36"/>
          <w:highlight w:val="none"/>
        </w:rPr>
      </w:pPr>
      <w:bookmarkStart w:id="56" w:name="_Toc8006"/>
      <w:r>
        <w:rPr>
          <w:rFonts w:hint="eastAsia" w:ascii="黑体" w:hAnsi="黑体" w:eastAsia="黑体" w:cs="黑体"/>
          <w:b/>
          <w:bCs/>
          <w:sz w:val="36"/>
          <w:szCs w:val="36"/>
          <w:highlight w:val="none"/>
        </w:rPr>
        <w:t xml:space="preserve">第三部分  </w:t>
      </w:r>
      <w:r>
        <w:rPr>
          <w:rFonts w:hint="eastAsia" w:ascii="黑体" w:hAnsi="黑体" w:eastAsia="黑体" w:cs="黑体"/>
          <w:b/>
          <w:bCs/>
          <w:sz w:val="36"/>
          <w:szCs w:val="36"/>
          <w:highlight w:val="none"/>
          <w:lang w:eastAsia="zh-CN"/>
        </w:rPr>
        <w:t>采购需求</w:t>
      </w:r>
      <w:r>
        <w:rPr>
          <w:rFonts w:hint="eastAsia" w:ascii="黑体" w:hAnsi="黑体" w:eastAsia="黑体" w:cs="黑体"/>
          <w:b/>
          <w:bCs/>
          <w:sz w:val="36"/>
          <w:szCs w:val="36"/>
          <w:highlight w:val="none"/>
        </w:rPr>
        <w:t>及技术参数</w:t>
      </w:r>
      <w:bookmarkEnd w:id="55"/>
      <w:bookmarkEnd w:id="56"/>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1.校园网机房专用空调 2 台（包含承重、上下水、原空调拆除等改造），计划金额：人民币 60 万元。 </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712"/>
        <w:gridCol w:w="852"/>
        <w:gridCol w:w="1200"/>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3" w:type="pct"/>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序号</w:t>
            </w:r>
          </w:p>
        </w:tc>
        <w:tc>
          <w:tcPr>
            <w:tcW w:w="1506"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设备名称</w:t>
            </w:r>
          </w:p>
          <w:p>
            <w:pPr>
              <w:jc w:val="center"/>
              <w:rPr>
                <w:rFonts w:hint="eastAsia" w:ascii="宋体" w:hAnsi="宋体" w:eastAsia="宋体" w:cs="宋体"/>
                <w:kern w:val="0"/>
                <w:sz w:val="21"/>
                <w:szCs w:val="21"/>
                <w:highlight w:val="none"/>
              </w:rPr>
            </w:pPr>
          </w:p>
        </w:tc>
        <w:tc>
          <w:tcPr>
            <w:tcW w:w="473"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单位</w:t>
            </w:r>
          </w:p>
          <w:p>
            <w:pPr>
              <w:jc w:val="center"/>
              <w:rPr>
                <w:rFonts w:hint="eastAsia" w:ascii="宋体" w:hAnsi="宋体" w:eastAsia="宋体" w:cs="宋体"/>
                <w:kern w:val="0"/>
                <w:sz w:val="21"/>
                <w:szCs w:val="21"/>
                <w:highlight w:val="none"/>
              </w:rPr>
            </w:pPr>
          </w:p>
        </w:tc>
        <w:tc>
          <w:tcPr>
            <w:tcW w:w="666"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数量</w:t>
            </w:r>
          </w:p>
          <w:p>
            <w:pPr>
              <w:jc w:val="center"/>
              <w:rPr>
                <w:rFonts w:hint="eastAsia" w:ascii="宋体" w:hAnsi="宋体" w:eastAsia="宋体" w:cs="宋体"/>
                <w:kern w:val="0"/>
                <w:sz w:val="21"/>
                <w:szCs w:val="21"/>
                <w:highlight w:val="none"/>
              </w:rPr>
            </w:pPr>
          </w:p>
        </w:tc>
        <w:tc>
          <w:tcPr>
            <w:tcW w:w="1810"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备 注</w:t>
            </w:r>
          </w:p>
          <w:p>
            <w:pPr>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43" w:type="pct"/>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506"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校园网机房专用空调 1</w:t>
            </w:r>
          </w:p>
          <w:p>
            <w:pPr>
              <w:jc w:val="center"/>
              <w:rPr>
                <w:rFonts w:hint="eastAsia" w:ascii="宋体" w:hAnsi="宋体" w:eastAsia="宋体" w:cs="宋体"/>
                <w:kern w:val="0"/>
                <w:sz w:val="21"/>
                <w:szCs w:val="21"/>
                <w:highlight w:val="none"/>
              </w:rPr>
            </w:pPr>
          </w:p>
        </w:tc>
        <w:tc>
          <w:tcPr>
            <w:tcW w:w="473" w:type="pct"/>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台</w:t>
            </w:r>
          </w:p>
        </w:tc>
        <w:tc>
          <w:tcPr>
            <w:tcW w:w="666" w:type="pct"/>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c>
          <w:tcPr>
            <w:tcW w:w="1810"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具体要求，详见附件 1。</w:t>
            </w:r>
          </w:p>
          <w:p>
            <w:pPr>
              <w:jc w:val="center"/>
              <w:rPr>
                <w:rFonts w:hint="eastAsia" w:ascii="宋体" w:hAnsi="宋体" w:eastAsia="宋体" w:cs="宋体"/>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3" w:type="pct"/>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1506"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校园网机房专用空调 2</w:t>
            </w:r>
          </w:p>
          <w:p>
            <w:pPr>
              <w:jc w:val="center"/>
              <w:rPr>
                <w:rFonts w:hint="eastAsia" w:ascii="宋体" w:hAnsi="宋体" w:eastAsia="宋体" w:cs="宋体"/>
                <w:kern w:val="0"/>
                <w:sz w:val="21"/>
                <w:szCs w:val="21"/>
                <w:highlight w:val="none"/>
              </w:rPr>
            </w:pPr>
          </w:p>
        </w:tc>
        <w:tc>
          <w:tcPr>
            <w:tcW w:w="473" w:type="pct"/>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台</w:t>
            </w:r>
          </w:p>
        </w:tc>
        <w:tc>
          <w:tcPr>
            <w:tcW w:w="666" w:type="pct"/>
            <w:vAlign w:val="center"/>
          </w:tcPr>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c>
          <w:tcPr>
            <w:tcW w:w="1810" w:type="pct"/>
            <w:vAlign w:val="center"/>
          </w:tcPr>
          <w:p>
            <w:pPr>
              <w:jc w:val="center"/>
              <w:rPr>
                <w:rFonts w:hint="eastAsia" w:ascii="宋体" w:hAnsi="宋体" w:eastAsia="宋体" w:cs="宋体"/>
                <w:kern w:val="0"/>
                <w:sz w:val="21"/>
                <w:szCs w:val="21"/>
                <w:highlight w:val="none"/>
                <w:lang w:val="en-US" w:eastAsia="zh-CN"/>
              </w:rPr>
            </w:pPr>
          </w:p>
          <w:p>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具体要求，详见附件 2。</w:t>
            </w:r>
          </w:p>
          <w:p>
            <w:pPr>
              <w:jc w:val="center"/>
              <w:rPr>
                <w:rFonts w:hint="eastAsia" w:ascii="宋体" w:hAnsi="宋体" w:eastAsia="宋体" w:cs="宋体"/>
                <w:kern w:val="0"/>
                <w:sz w:val="21"/>
                <w:szCs w:val="21"/>
                <w:highlight w:val="no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2.主要性能指标及技术参数：详见附件 1、2。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3.放置地点：逸夫馆校园网机房。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4.工期要求：签订合同后 60 个工作日内完成交货、安装和调试工作。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5.售后服务的具体要求：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（1）成交方须在合同规定的日期内到货，并负责安装、调试，直至满足合同的要求（含工程所需全部配件）；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（2）成交方须提供不少于 5 年的原厂商免费现场服务，且提供 5 年的质保。质保期间均上门免费维护；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（3）提供本地化服务，7x24 小时技术支持服务及自故障发生通告时的 2 个小时之内的现场服务支持；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（4）为保证该系统的可靠性服务，要求提供原厂针对本次设备采购的授权原件和售后服务承诺函原件；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（5）成交方须提供至少 2 人次相关产品的原厂免费培训。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（6）成交方须免费提供原厂不少于 60 人天现场服务和紧急救援服务，并按照学校的要求完成相关工作。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（7）每年免费提供不少于 4 次现场巡检服务，对设备进行细致全面的检查，巡检完成后三个工作日内提交巡检记录和巡检报告。如发现维保设备存在故障隐患或漏洞，要及时提出并协助用户进行改进完善。用户可以根据需要要求维保方增加或修改巡检内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6.其它要求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（1）供应商须提供所投标项目的品牌型号、详细技术方案、必要实施说明以及主要产品的详细技术参数和外观彩页；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为方便管理要求所投产品为同一品牌。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bCs/>
          <w:szCs w:val="21"/>
          <w:highlight w:val="none"/>
        </w:rPr>
      </w:pP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踏勘</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12"/>
        <w:textAlignment w:val="auto"/>
        <w:rPr>
          <w:rFonts w:hint="eastAsia" w:ascii="宋体" w:hAnsi="宋体" w:eastAsia="宋体" w:cs="宋体"/>
          <w:bCs/>
          <w:szCs w:val="21"/>
          <w:highlight w:val="none"/>
        </w:rPr>
      </w:pPr>
      <w:r>
        <w:rPr>
          <w:rFonts w:hint="eastAsia" w:ascii="宋体" w:hAnsi="宋体" w:eastAsia="宋体" w:cs="宋体"/>
          <w:bCs/>
          <w:szCs w:val="21"/>
          <w:highlight w:val="none"/>
        </w:rPr>
        <w:t>踏勘现场：采购人统一组织踏勘，踏勘时间为2020年</w:t>
      </w:r>
      <w:r>
        <w:rPr>
          <w:rFonts w:hint="eastAsia" w:ascii="宋体" w:hAnsi="宋体" w:eastAsia="宋体" w:cs="宋体"/>
          <w:bCs/>
          <w:szCs w:val="21"/>
          <w:highlight w:val="none"/>
          <w:lang w:val="en-US" w:eastAsia="zh-CN"/>
        </w:rPr>
        <w:t>11</w:t>
      </w:r>
      <w:r>
        <w:rPr>
          <w:rFonts w:hint="eastAsia" w:ascii="宋体" w:hAnsi="宋体" w:eastAsia="宋体" w:cs="宋体"/>
          <w:bCs/>
          <w:szCs w:val="21"/>
          <w:highlight w:val="none"/>
        </w:rPr>
        <w:t>月</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rPr>
        <w:t>日14：00时，哈尔滨工程大学逸夫楼</w:t>
      </w:r>
      <w:r>
        <w:rPr>
          <w:rFonts w:hint="eastAsia" w:ascii="宋体" w:hAnsi="宋体" w:eastAsia="宋体" w:cs="宋体"/>
          <w:bCs/>
          <w:szCs w:val="21"/>
          <w:highlight w:val="none"/>
          <w:lang w:eastAsia="zh-CN"/>
        </w:rPr>
        <w:t>门口</w:t>
      </w:r>
      <w:r>
        <w:rPr>
          <w:rFonts w:hint="eastAsia" w:ascii="宋体" w:hAnsi="宋体" w:eastAsia="宋体" w:cs="宋体"/>
          <w:bCs/>
          <w:szCs w:val="21"/>
          <w:highlight w:val="none"/>
        </w:rPr>
        <w:t>集合，过期不候，</w:t>
      </w:r>
      <w:r>
        <w:rPr>
          <w:rFonts w:hint="eastAsia" w:ascii="宋体" w:hAnsi="宋体" w:eastAsia="宋体" w:cs="宋体"/>
          <w:bCs/>
          <w:szCs w:val="21"/>
          <w:highlight w:val="none"/>
          <w:lang w:eastAsia="zh-CN"/>
        </w:rPr>
        <w:t>在本项目一次磋商时已完成踏勘的供应商，本次磋商可自行决定是否再次踏勘；</w:t>
      </w:r>
      <w:r>
        <w:rPr>
          <w:rFonts w:hint="eastAsia" w:ascii="宋体" w:hAnsi="宋体" w:eastAsia="宋体" w:cs="宋体"/>
          <w:bCs/>
          <w:szCs w:val="21"/>
          <w:highlight w:val="none"/>
        </w:rPr>
        <w:t>踏勘要求详见磋商文件。</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212"/>
        <w:textAlignment w:val="auto"/>
        <w:rPr>
          <w:rFonts w:hint="eastAsia" w:ascii="宋体" w:hAnsi="宋体" w:eastAsia="宋体" w:cs="宋体"/>
          <w:bCs/>
          <w:szCs w:val="21"/>
          <w:highlight w:val="none"/>
        </w:rPr>
      </w:pPr>
      <w:r>
        <w:rPr>
          <w:rFonts w:hint="eastAsia" w:ascii="宋体" w:hAnsi="宋体" w:eastAsia="宋体" w:cs="宋体"/>
          <w:bCs/>
          <w:szCs w:val="21"/>
          <w:highlight w:val="none"/>
        </w:rPr>
        <w:t>要求：</w:t>
      </w:r>
      <w:r>
        <w:rPr>
          <w:rFonts w:hint="eastAsia" w:ascii="宋体" w:hAnsi="宋体" w:eastAsia="宋体" w:cs="宋体"/>
          <w:bCs/>
          <w:szCs w:val="21"/>
          <w:highlight w:val="none"/>
          <w:lang w:eastAsia="zh-CN"/>
        </w:rPr>
        <w:t>（相关报备材料由代理机构提供）</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供应商授权委托人或法人须按指定时间到达采购人指定位置，供应商只能派出一人参加现场踏勘。</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ascii="宋体" w:hAnsi="宋体" w:eastAsia="宋体" w:cs="宋体"/>
          <w:b w:val="0"/>
          <w:bCs/>
          <w:szCs w:val="21"/>
          <w:highlight w:val="none"/>
        </w:rPr>
      </w:pPr>
      <w:r>
        <w:rPr>
          <w:rFonts w:hint="eastAsia" w:ascii="宋体" w:hAnsi="宋体" w:eastAsia="宋体" w:cs="宋体"/>
          <w:b w:val="0"/>
          <w:bCs/>
          <w:szCs w:val="21"/>
          <w:highlight w:val="none"/>
        </w:rPr>
        <w:t>参与现场踏勘人员须提供个人身份证复印件并加盖企业公章。</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b w:val="0"/>
          <w:bCs/>
          <w:highlight w:val="none"/>
        </w:rPr>
      </w:pPr>
      <w:r>
        <w:rPr>
          <w:rFonts w:hint="eastAsia" w:ascii="宋体" w:hAnsi="宋体" w:eastAsia="宋体" w:cs="宋体"/>
          <w:b w:val="0"/>
          <w:bCs/>
          <w:szCs w:val="21"/>
          <w:highlight w:val="none"/>
        </w:rPr>
        <w:t>如参与现场踏勘人员驾驶车辆需要进入校内，须提供车牌号复印件并加盖企业公章。</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b w:val="0"/>
          <w:bCs/>
          <w:highlight w:val="none"/>
        </w:rPr>
      </w:pPr>
      <w:r>
        <w:rPr>
          <w:rFonts w:hint="eastAsia" w:ascii="宋体" w:hAnsi="宋体" w:eastAsia="宋体" w:cs="宋体"/>
          <w:b w:val="0"/>
          <w:bCs/>
          <w:szCs w:val="21"/>
          <w:highlight w:val="none"/>
        </w:rPr>
        <w:t>踏勘前供应商须提前一天向工程大学有关部门报备</w:t>
      </w:r>
      <w:r>
        <w:rPr>
          <w:rFonts w:hint="eastAsia" w:ascii="宋体" w:hAnsi="宋体" w:eastAsia="宋体" w:cs="宋体"/>
          <w:b w:val="0"/>
          <w:bCs/>
          <w:szCs w:val="21"/>
          <w:highlight w:val="none"/>
          <w:lang w:eastAsia="zh-CN"/>
        </w:rPr>
        <w:t>。</w:t>
      </w:r>
    </w:p>
    <w:p>
      <w:pPr>
        <w:pStyle w:val="2"/>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b w:val="0"/>
          <w:bCs/>
          <w:highlight w:val="none"/>
        </w:rPr>
      </w:pPr>
      <w:r>
        <w:rPr>
          <w:rFonts w:hint="eastAsia" w:ascii="宋体" w:hAnsi="宋体" w:eastAsia="宋体" w:cs="宋体"/>
          <w:b w:val="0"/>
          <w:bCs/>
          <w:szCs w:val="21"/>
          <w:highlight w:val="none"/>
        </w:rPr>
        <w:t>参与现场踏勘人员须提供核酸检测报告（检测结果须为阴性）及疫情期间相关报备材料。</w:t>
      </w:r>
    </w:p>
    <w:p>
      <w:pPr>
        <w:pStyle w:val="2"/>
        <w:ind w:firstLine="212"/>
        <w:rPr>
          <w:rFonts w:hint="eastAsia" w:ascii="宋体" w:hAnsi="宋体" w:eastAsia="宋体" w:cs="宋体"/>
          <w:bCs/>
          <w:szCs w:val="21"/>
          <w:highlight w:val="none"/>
        </w:rPr>
      </w:pPr>
    </w:p>
    <w:p>
      <w:pPr>
        <w:spacing w:line="480" w:lineRule="exact"/>
        <w:rPr>
          <w:rFonts w:ascii="宋体" w:hAnsi="宋体" w:eastAsia="宋体" w:cs="宋体"/>
          <w:b/>
          <w:bCs/>
          <w:szCs w:val="21"/>
          <w:highlight w:val="none"/>
        </w:rPr>
      </w:pPr>
      <w:r>
        <w:rPr>
          <w:rFonts w:hint="eastAsia" w:ascii="宋体" w:hAnsi="宋体" w:eastAsia="宋体" w:cs="宋体"/>
          <w:b/>
          <w:bCs/>
          <w:szCs w:val="21"/>
          <w:highlight w:val="none"/>
        </w:rPr>
        <w:t>注：</w:t>
      </w:r>
    </w:p>
    <w:p>
      <w:pPr>
        <w:pStyle w:val="17"/>
        <w:spacing w:before="0" w:beforeAutospacing="0" w:after="0" w:afterAutospacing="0" w:line="360" w:lineRule="auto"/>
        <w:ind w:firstLine="422" w:firstLineChars="200"/>
        <w:rPr>
          <w:b/>
          <w:bCs/>
          <w:sz w:val="21"/>
          <w:szCs w:val="21"/>
          <w:highlight w:val="none"/>
        </w:rPr>
      </w:pPr>
      <w:r>
        <w:rPr>
          <w:rFonts w:hint="eastAsia"/>
          <w:b/>
          <w:bCs/>
          <w:sz w:val="21"/>
          <w:szCs w:val="21"/>
          <w:highlight w:val="none"/>
        </w:rPr>
        <w:t>1、供应商响应技术参数须逐条提供相关佐证材料，包含不限于文字资料、图纸、数据、宣传彩页等，所提供证明文件，表达意思必须统一，不提供的按不响应处理。</w:t>
      </w:r>
    </w:p>
    <w:p>
      <w:pPr>
        <w:pStyle w:val="17"/>
        <w:spacing w:before="0" w:beforeAutospacing="0" w:after="0" w:afterAutospacing="0" w:line="360" w:lineRule="auto"/>
        <w:ind w:firstLine="422" w:firstLineChars="200"/>
        <w:rPr>
          <w:rFonts w:ascii="黑体" w:hAnsi="黑体" w:eastAsia="黑体" w:cs="黑体"/>
          <w:b/>
          <w:kern w:val="44"/>
          <w:sz w:val="36"/>
          <w:szCs w:val="36"/>
          <w:highlight w:val="none"/>
        </w:rPr>
      </w:pPr>
      <w:r>
        <w:rPr>
          <w:rFonts w:hint="eastAsia"/>
          <w:b/>
          <w:bCs/>
          <w:sz w:val="21"/>
          <w:szCs w:val="21"/>
          <w:highlight w:val="none"/>
        </w:rPr>
        <w:t>2、供应商应注意响应文件的技术参数中指出的工艺、材料、软件和设备的参照品牌或型号仅起说明作用，并没有任何限制性。供应商在采购活动中可以选用替代标准、品牌或型号，但这些替代要实质上满足或超过响应文件的要求。</w:t>
      </w:r>
    </w:p>
    <w:p>
      <w:pPr>
        <w:pStyle w:val="2"/>
        <w:rPr>
          <w:rFonts w:hint="eastAsia"/>
          <w:highlight w:val="none"/>
          <w:lang w:val="en-US" w:eastAsia="zh-CN"/>
        </w:rPr>
      </w:pPr>
    </w:p>
    <w:p>
      <w:pPr>
        <w:pStyle w:val="2"/>
        <w:numPr>
          <w:ilvl w:val="0"/>
          <w:numId w:val="0"/>
        </w:numPr>
        <w:rPr>
          <w:rFonts w:hint="eastAsia"/>
          <w:highlight w:val="none"/>
        </w:rPr>
      </w:pPr>
    </w:p>
    <w:p>
      <w:pPr>
        <w:pStyle w:val="3"/>
        <w:keepNext w:val="0"/>
        <w:keepLines w:val="0"/>
        <w:pageBreakBefore w:val="0"/>
        <w:kinsoku/>
        <w:wordWrap/>
        <w:overflowPunct/>
        <w:topLinePunct w:val="0"/>
        <w:autoSpaceDE/>
        <w:autoSpaceDN/>
        <w:bidi w:val="0"/>
        <w:adjustRightInd/>
        <w:snapToGrid/>
        <w:spacing w:before="34" w:line="360" w:lineRule="auto"/>
        <w:textAlignment w:val="auto"/>
        <w:rPr>
          <w:rFonts w:hint="eastAsia" w:ascii="宋体" w:hAnsi="宋体" w:eastAsia="宋体" w:cs="宋体"/>
          <w:sz w:val="21"/>
          <w:szCs w:val="21"/>
          <w:highlight w:val="none"/>
        </w:rPr>
      </w:pPr>
    </w:p>
    <w:p>
      <w:pPr>
        <w:pStyle w:val="4"/>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ind w:left="0" w:leftChars="0" w:firstLine="0" w:firstLineChars="0"/>
        <w:rPr>
          <w:rFonts w:hint="eastAsia"/>
          <w:highlight w:val="none"/>
          <w:lang w:eastAsia="zh-CN"/>
        </w:rPr>
      </w:pPr>
    </w:p>
    <w:p>
      <w:pPr>
        <w:pStyle w:val="2"/>
        <w:ind w:left="0" w:leftChars="0" w:firstLine="0" w:firstLineChars="0"/>
        <w:rPr>
          <w:rFonts w:hint="eastAsia"/>
          <w:highlight w:val="none"/>
          <w:lang w:eastAsia="zh-CN"/>
        </w:rPr>
      </w:pPr>
    </w:p>
    <w:p>
      <w:pPr>
        <w:pStyle w:val="2"/>
        <w:ind w:left="0" w:leftChars="0" w:firstLine="0" w:firstLineChars="0"/>
        <w:rPr>
          <w:rFonts w:hint="eastAsia"/>
          <w:highlight w:val="none"/>
          <w:lang w:eastAsia="zh-CN"/>
        </w:rPr>
      </w:pPr>
    </w:p>
    <w:p>
      <w:pPr>
        <w:pStyle w:val="2"/>
        <w:ind w:left="0" w:leftChars="0" w:firstLine="0" w:firstLineChars="0"/>
        <w:rPr>
          <w:rFonts w:hint="eastAsia"/>
          <w:highlight w:val="none"/>
          <w:lang w:eastAsia="zh-CN"/>
        </w:rPr>
      </w:pPr>
    </w:p>
    <w:p>
      <w:pPr>
        <w:pStyle w:val="2"/>
        <w:ind w:left="0" w:leftChars="0" w:firstLine="0" w:firstLineChars="0"/>
        <w:rPr>
          <w:rFonts w:hint="eastAsia"/>
          <w:highlight w:val="none"/>
          <w:lang w:eastAsia="zh-CN"/>
        </w:rPr>
      </w:pPr>
    </w:p>
    <w:p>
      <w:pPr>
        <w:pStyle w:val="3"/>
        <w:keepNext w:val="0"/>
        <w:keepLines w:val="0"/>
        <w:pageBreakBefore w:val="0"/>
        <w:kinsoku/>
        <w:wordWrap/>
        <w:overflowPunct/>
        <w:topLinePunct w:val="0"/>
        <w:autoSpaceDE/>
        <w:autoSpaceDN/>
        <w:bidi w:val="0"/>
        <w:adjustRightInd/>
        <w:snapToGrid/>
        <w:spacing w:before="34"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附件 1：校园网机房专用空调 1 主要技术参数</w:t>
      </w:r>
    </w:p>
    <w:tbl>
      <w:tblPr>
        <w:tblStyle w:val="19"/>
        <w:tblW w:w="50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3"/>
        <w:gridCol w:w="1294"/>
        <w:gridCol w:w="7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48"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23" w:type="pct"/>
            <w:vAlign w:val="center"/>
          </w:tcPr>
          <w:p>
            <w:pPr>
              <w:pStyle w:val="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指标项目</w:t>
            </w:r>
          </w:p>
        </w:tc>
        <w:tc>
          <w:tcPr>
            <w:tcW w:w="3928" w:type="pct"/>
            <w:vAlign w:val="center"/>
          </w:tcPr>
          <w:p>
            <w:pPr>
              <w:pStyle w:val="46"/>
              <w:ind w:left="2574" w:right="256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48" w:type="pct"/>
            <w:vAlign w:val="center"/>
          </w:tcPr>
          <w:p>
            <w:pPr>
              <w:pStyle w:val="46"/>
              <w:spacing w:before="100" w:line="240" w:lineRule="auto"/>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23" w:type="pct"/>
            <w:vAlign w:val="center"/>
          </w:tcPr>
          <w:p>
            <w:pPr>
              <w:pStyle w:val="46"/>
              <w:spacing w:before="10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材质要求</w:t>
            </w:r>
          </w:p>
        </w:tc>
        <w:tc>
          <w:tcPr>
            <w:tcW w:w="3928" w:type="pct"/>
            <w:vAlign w:val="center"/>
          </w:tcPr>
          <w:p>
            <w:pPr>
              <w:pStyle w:val="46"/>
              <w:spacing w:before="100"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全金属防腐材质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348" w:type="pct"/>
            <w:vAlign w:val="center"/>
          </w:tcPr>
          <w:p>
            <w:pPr>
              <w:pStyle w:val="46"/>
              <w:spacing w:before="117" w:line="240" w:lineRule="auto"/>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23" w:type="pct"/>
            <w:vAlign w:val="center"/>
          </w:tcPr>
          <w:p>
            <w:pPr>
              <w:pStyle w:val="46"/>
              <w:spacing w:before="117" w:line="240" w:lineRule="auto"/>
              <w:ind w:left="0" w:right="16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★机组架构</w:t>
            </w:r>
          </w:p>
        </w:tc>
        <w:tc>
          <w:tcPr>
            <w:tcW w:w="3928" w:type="pct"/>
            <w:vAlign w:val="center"/>
          </w:tcPr>
          <w:p>
            <w:pPr>
              <w:pStyle w:val="46"/>
              <w:spacing w:before="3" w:line="272" w:lineRule="exact"/>
              <w:ind w:right="-5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采用模块化框架结构，可按柜体拆解以及采用不同模块拼装实现不同的制冷量（须提供机组按柜体模块拆装示意图）</w:t>
            </w:r>
            <w:r>
              <w:rPr>
                <w:rFonts w:hint="eastAsia" w:cs="宋体"/>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48" w:type="pct"/>
            <w:vAlign w:val="center"/>
          </w:tcPr>
          <w:p>
            <w:pPr>
              <w:pStyle w:val="46"/>
              <w:spacing w:before="117" w:line="240" w:lineRule="auto"/>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23" w:type="pct"/>
            <w:vAlign w:val="center"/>
          </w:tcPr>
          <w:p>
            <w:pPr>
              <w:pStyle w:val="46"/>
              <w:spacing w:before="117" w:line="240" w:lineRule="auto"/>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控制系统</w:t>
            </w:r>
          </w:p>
        </w:tc>
        <w:tc>
          <w:tcPr>
            <w:tcW w:w="3928" w:type="pct"/>
            <w:vAlign w:val="center"/>
          </w:tcPr>
          <w:p>
            <w:pPr>
              <w:pStyle w:val="46"/>
              <w:spacing w:before="62" w:line="213" w:lineRule="auto"/>
              <w:ind w:left="0" w:leftChars="0" w:right="2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每台机组均应具有先进的微处理控制器，且均可以作为主机实现群控。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23" w:type="pct"/>
            <w:vAlign w:val="center"/>
          </w:tcPr>
          <w:p>
            <w:pPr>
              <w:pStyle w:val="46"/>
              <w:ind w:left="0" w:right="16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★风机系统</w:t>
            </w:r>
          </w:p>
        </w:tc>
        <w:tc>
          <w:tcPr>
            <w:tcW w:w="3928" w:type="pct"/>
            <w:vAlign w:val="center"/>
          </w:tcPr>
          <w:p>
            <w:pPr>
              <w:pStyle w:val="4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采用EC风机。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48" w:type="pct"/>
            <w:vAlign w:val="center"/>
          </w:tcPr>
          <w:p>
            <w:pPr>
              <w:pStyle w:val="46"/>
              <w:spacing w:before="2"/>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23" w:type="pct"/>
            <w:vAlign w:val="center"/>
          </w:tcPr>
          <w:p>
            <w:pPr>
              <w:pStyle w:val="46"/>
              <w:spacing w:before="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★压缩机</w:t>
            </w:r>
          </w:p>
        </w:tc>
        <w:tc>
          <w:tcPr>
            <w:tcW w:w="3928" w:type="pct"/>
            <w:vAlign w:val="center"/>
          </w:tcPr>
          <w:p>
            <w:pPr>
              <w:pStyle w:val="46"/>
              <w:spacing w:before="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≥2，且高效可调速。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48" w:type="pct"/>
            <w:vAlign w:val="center"/>
          </w:tcPr>
          <w:p>
            <w:pPr>
              <w:pStyle w:val="46"/>
              <w:spacing w:before="99" w:line="240" w:lineRule="auto"/>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723" w:type="pct"/>
            <w:vAlign w:val="center"/>
          </w:tcPr>
          <w:p>
            <w:pPr>
              <w:pStyle w:val="46"/>
              <w:spacing w:before="99"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冷却方式</w:t>
            </w:r>
          </w:p>
        </w:tc>
        <w:tc>
          <w:tcPr>
            <w:tcW w:w="3928" w:type="pct"/>
            <w:vAlign w:val="center"/>
          </w:tcPr>
          <w:p>
            <w:pPr>
              <w:pStyle w:val="46"/>
              <w:spacing w:before="99"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风冷冷却（须提供风冷冷凝器的供电模式</w:t>
            </w:r>
            <w:r>
              <w:rPr>
                <w:rFonts w:hint="eastAsia" w:ascii="宋体" w:hAnsi="宋体" w:eastAsia="宋体" w:cs="宋体"/>
                <w:spacing w:val="-12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23" w:type="pct"/>
            <w:vAlign w:val="center"/>
          </w:tcPr>
          <w:p>
            <w:pPr>
              <w:pStyle w:val="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送风方式</w:t>
            </w:r>
          </w:p>
        </w:tc>
        <w:tc>
          <w:tcPr>
            <w:tcW w:w="3928" w:type="pct"/>
            <w:vAlign w:val="center"/>
          </w:tcPr>
          <w:p>
            <w:pPr>
              <w:pStyle w:val="4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下送风，上回风。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48" w:type="pct"/>
            <w:vAlign w:val="center"/>
          </w:tcPr>
          <w:p>
            <w:pPr>
              <w:pStyle w:val="46"/>
              <w:spacing w:before="2"/>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723" w:type="pct"/>
            <w:vAlign w:val="center"/>
          </w:tcPr>
          <w:p>
            <w:pPr>
              <w:pStyle w:val="46"/>
              <w:spacing w:before="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★制冷量</w:t>
            </w:r>
          </w:p>
        </w:tc>
        <w:tc>
          <w:tcPr>
            <w:tcW w:w="3928" w:type="pct"/>
            <w:vAlign w:val="center"/>
          </w:tcPr>
          <w:p>
            <w:pPr>
              <w:pStyle w:val="46"/>
              <w:spacing w:before="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723" w:type="pct"/>
            <w:vAlign w:val="center"/>
          </w:tcPr>
          <w:p>
            <w:pPr>
              <w:pStyle w:val="4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送风量</w:t>
            </w:r>
          </w:p>
        </w:tc>
        <w:tc>
          <w:tcPr>
            <w:tcW w:w="3928" w:type="pct"/>
            <w:vAlign w:val="center"/>
          </w:tcPr>
          <w:p>
            <w:pPr>
              <w:pStyle w:val="4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≥22km³/h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23" w:type="pct"/>
            <w:vAlign w:val="center"/>
          </w:tcPr>
          <w:p>
            <w:pPr>
              <w:pStyle w:val="46"/>
              <w:ind w:left="0" w:right="2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V型蒸发器</w:t>
            </w:r>
          </w:p>
        </w:tc>
        <w:tc>
          <w:tcPr>
            <w:tcW w:w="3928" w:type="pct"/>
            <w:vAlign w:val="center"/>
          </w:tcPr>
          <w:p>
            <w:pPr>
              <w:pStyle w:val="4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每个制冷模块采用单独蒸发器。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23" w:type="pct"/>
            <w:vAlign w:val="center"/>
          </w:tcPr>
          <w:p>
            <w:pPr>
              <w:pStyle w:val="46"/>
              <w:spacing w:line="288"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电压范围</w:t>
            </w:r>
          </w:p>
        </w:tc>
        <w:tc>
          <w:tcPr>
            <w:tcW w:w="3928" w:type="pct"/>
            <w:vAlign w:val="center"/>
          </w:tcPr>
          <w:p>
            <w:pPr>
              <w:pStyle w:val="46"/>
              <w:spacing w:line="288"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380+15%～-10%。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723" w:type="pct"/>
            <w:vAlign w:val="center"/>
          </w:tcPr>
          <w:p>
            <w:pPr>
              <w:pStyle w:val="46"/>
              <w:spacing w:line="288"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工作频率</w:t>
            </w:r>
          </w:p>
        </w:tc>
        <w:tc>
          <w:tcPr>
            <w:tcW w:w="3928" w:type="pct"/>
            <w:vAlign w:val="center"/>
          </w:tcPr>
          <w:p>
            <w:pPr>
              <w:pStyle w:val="46"/>
              <w:spacing w:line="288"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50HZ±2HZ。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48" w:type="pct"/>
            <w:vAlign w:val="center"/>
          </w:tcPr>
          <w:p>
            <w:pPr>
              <w:pStyle w:val="46"/>
              <w:spacing w:before="9" w:line="301" w:lineRule="exact"/>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723" w:type="pct"/>
            <w:vAlign w:val="center"/>
          </w:tcPr>
          <w:p>
            <w:pPr>
              <w:pStyle w:val="46"/>
              <w:spacing w:line="288"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防雷设计</w:t>
            </w:r>
          </w:p>
        </w:tc>
        <w:tc>
          <w:tcPr>
            <w:tcW w:w="3928" w:type="pct"/>
            <w:vAlign w:val="center"/>
          </w:tcPr>
          <w:p>
            <w:pPr>
              <w:pStyle w:val="46"/>
              <w:spacing w:line="288"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内置防雷器。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48" w:type="pct"/>
            <w:vAlign w:val="center"/>
          </w:tcPr>
          <w:p>
            <w:pPr>
              <w:pStyle w:val="46"/>
              <w:spacing w:before="136" w:line="240" w:lineRule="auto"/>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723" w:type="pct"/>
            <w:vAlign w:val="center"/>
          </w:tcPr>
          <w:p>
            <w:pPr>
              <w:pStyle w:val="46"/>
              <w:spacing w:before="115" w:line="240" w:lineRule="auto"/>
              <w:ind w:left="0" w:leftChars="0" w:right="510" w:firstLine="0" w:firstLineChars="0"/>
              <w:jc w:val="center"/>
              <w:rPr>
                <w:rFonts w:hint="eastAsia" w:ascii="宋体" w:hAnsi="宋体" w:eastAsia="宋体" w:cs="宋体"/>
                <w:sz w:val="21"/>
                <w:szCs w:val="21"/>
                <w:highlight w:val="none"/>
              </w:rPr>
            </w:pPr>
            <w:r>
              <w:rPr>
                <w:rFonts w:hint="eastAsia" w:cs="宋体"/>
                <w:sz w:val="21"/>
                <w:szCs w:val="21"/>
                <w:highlight w:val="none"/>
                <w:lang w:val="en-US" w:eastAsia="zh-CN"/>
              </w:rPr>
              <w:t xml:space="preserve">   </w:t>
            </w:r>
            <w:r>
              <w:rPr>
                <w:rFonts w:hint="eastAsia" w:ascii="宋体" w:hAnsi="宋体" w:eastAsia="宋体" w:cs="宋体"/>
                <w:sz w:val="21"/>
                <w:szCs w:val="21"/>
                <w:highlight w:val="none"/>
              </w:rPr>
              <w:t>温度</w:t>
            </w:r>
          </w:p>
        </w:tc>
        <w:tc>
          <w:tcPr>
            <w:tcW w:w="3928" w:type="pct"/>
            <w:vAlign w:val="center"/>
          </w:tcPr>
          <w:p>
            <w:pPr>
              <w:pStyle w:val="46"/>
              <w:spacing w:line="284"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室内：-10℃～+30℃。</w:t>
            </w:r>
          </w:p>
          <w:p>
            <w:pPr>
              <w:pStyle w:val="46"/>
              <w:spacing w:line="281"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室外：-15℃～+45℃。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723" w:type="pct"/>
            <w:vAlign w:val="center"/>
          </w:tcPr>
          <w:p>
            <w:pPr>
              <w:pStyle w:val="46"/>
              <w:spacing w:line="288" w:lineRule="exact"/>
              <w:ind w:left="0" w:leftChars="0" w:right="510" w:firstLine="0" w:firstLineChars="0"/>
              <w:jc w:val="center"/>
              <w:rPr>
                <w:rFonts w:hint="eastAsia" w:ascii="宋体" w:hAnsi="宋体" w:eastAsia="宋体" w:cs="宋体"/>
                <w:sz w:val="21"/>
                <w:szCs w:val="21"/>
                <w:highlight w:val="none"/>
              </w:rPr>
            </w:pPr>
            <w:r>
              <w:rPr>
                <w:rFonts w:hint="eastAsia" w:cs="宋体"/>
                <w:sz w:val="21"/>
                <w:szCs w:val="21"/>
                <w:highlight w:val="none"/>
                <w:lang w:val="en-US" w:eastAsia="zh-CN"/>
              </w:rPr>
              <w:t xml:space="preserve">   </w:t>
            </w:r>
            <w:r>
              <w:rPr>
                <w:rFonts w:hint="eastAsia" w:ascii="宋体" w:hAnsi="宋体" w:eastAsia="宋体" w:cs="宋体"/>
                <w:sz w:val="21"/>
                <w:szCs w:val="21"/>
                <w:highlight w:val="none"/>
              </w:rPr>
              <w:t>湿度</w:t>
            </w:r>
          </w:p>
        </w:tc>
        <w:tc>
          <w:tcPr>
            <w:tcW w:w="3928" w:type="pct"/>
            <w:vAlign w:val="center"/>
          </w:tcPr>
          <w:p>
            <w:pPr>
              <w:pStyle w:val="46"/>
              <w:spacing w:line="288"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≤95%RH。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48" w:type="pct"/>
            <w:vAlign w:val="center"/>
          </w:tcPr>
          <w:p>
            <w:pPr>
              <w:pStyle w:val="46"/>
              <w:spacing w:before="2"/>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723" w:type="pct"/>
            <w:vAlign w:val="center"/>
          </w:tcPr>
          <w:p>
            <w:pPr>
              <w:pStyle w:val="46"/>
              <w:spacing w:line="291"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调节范围</w:t>
            </w:r>
          </w:p>
        </w:tc>
        <w:tc>
          <w:tcPr>
            <w:tcW w:w="3928" w:type="pct"/>
            <w:vAlign w:val="center"/>
          </w:tcPr>
          <w:p>
            <w:pPr>
              <w:pStyle w:val="46"/>
              <w:spacing w:line="291"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温度+18℃～+28℃，湿度 40%-60%RH。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723" w:type="pct"/>
            <w:vAlign w:val="center"/>
          </w:tcPr>
          <w:p>
            <w:pPr>
              <w:pStyle w:val="46"/>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调节精度</w:t>
            </w:r>
          </w:p>
        </w:tc>
        <w:tc>
          <w:tcPr>
            <w:tcW w:w="3928" w:type="pct"/>
            <w:vAlign w:val="center"/>
          </w:tcPr>
          <w:p>
            <w:pPr>
              <w:pStyle w:val="46"/>
              <w:ind w:right="-29"/>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温度</w:t>
            </w:r>
            <w:r>
              <w:rPr>
                <w:rFonts w:hint="eastAsia" w:ascii="宋体" w:hAnsi="宋体" w:eastAsia="宋体" w:cs="宋体"/>
                <w:spacing w:val="-9"/>
                <w:sz w:val="21"/>
                <w:szCs w:val="21"/>
                <w:highlight w:val="none"/>
              </w:rPr>
              <w:t>±2℃</w:t>
            </w:r>
            <w:r>
              <w:rPr>
                <w:rFonts w:hint="eastAsia" w:ascii="宋体" w:hAnsi="宋体" w:eastAsia="宋体" w:cs="宋体"/>
                <w:spacing w:val="-3"/>
                <w:sz w:val="21"/>
                <w:szCs w:val="21"/>
                <w:highlight w:val="none"/>
              </w:rPr>
              <w:t>，温度变化率</w:t>
            </w:r>
            <w:r>
              <w:rPr>
                <w:rFonts w:hint="eastAsia" w:ascii="宋体" w:hAnsi="宋体" w:eastAsia="宋体" w:cs="宋体"/>
                <w:sz w:val="21"/>
                <w:szCs w:val="21"/>
                <w:highlight w:val="none"/>
              </w:rPr>
              <w:t>5℃/</w:t>
            </w:r>
            <w:r>
              <w:rPr>
                <w:rFonts w:hint="eastAsia" w:ascii="宋体" w:hAnsi="宋体" w:eastAsia="宋体" w:cs="宋体"/>
                <w:spacing w:val="-6"/>
                <w:sz w:val="21"/>
                <w:szCs w:val="21"/>
                <w:highlight w:val="none"/>
              </w:rPr>
              <w:t>小时；湿度调节精度</w:t>
            </w:r>
            <w:r>
              <w:rPr>
                <w:rFonts w:hint="eastAsia" w:ascii="宋体" w:hAnsi="宋体" w:eastAsia="宋体" w:cs="宋体"/>
                <w:sz w:val="21"/>
                <w:szCs w:val="21"/>
                <w:highlight w:val="none"/>
              </w:rPr>
              <w:t>±5%RH</w:t>
            </w:r>
            <w:r>
              <w:rPr>
                <w:rFonts w:hint="eastAsia" w:ascii="宋体" w:hAnsi="宋体" w:eastAsia="宋体" w:cs="宋体"/>
                <w:spacing w:val="-13"/>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723" w:type="pct"/>
            <w:vAlign w:val="center"/>
          </w:tcPr>
          <w:p>
            <w:pPr>
              <w:pStyle w:val="46"/>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报警功能</w:t>
            </w:r>
          </w:p>
        </w:tc>
        <w:tc>
          <w:tcPr>
            <w:tcW w:w="3928" w:type="pct"/>
            <w:vAlign w:val="center"/>
          </w:tcPr>
          <w:p>
            <w:pPr>
              <w:pStyle w:val="4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具有温湿度波动超限发出报警信号功能。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348" w:type="pct"/>
            <w:vAlign w:val="center"/>
          </w:tcPr>
          <w:p>
            <w:pPr>
              <w:pStyle w:val="46"/>
              <w:spacing w:line="240" w:lineRule="auto"/>
              <w:ind w:left="0" w:leftChars="0" w:right="155"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723" w:type="pct"/>
            <w:vAlign w:val="center"/>
          </w:tcPr>
          <w:p>
            <w:pPr>
              <w:pStyle w:val="46"/>
              <w:spacing w:line="240" w:lineRule="auto"/>
              <w:ind w:left="0"/>
              <w:jc w:val="center"/>
              <w:rPr>
                <w:rFonts w:hint="eastAsia" w:ascii="宋体" w:hAnsi="宋体" w:eastAsia="宋体" w:cs="宋体"/>
                <w:sz w:val="21"/>
                <w:szCs w:val="21"/>
                <w:highlight w:val="none"/>
              </w:rPr>
            </w:pPr>
          </w:p>
          <w:p>
            <w:pPr>
              <w:pStyle w:val="46"/>
              <w:spacing w:line="242" w:lineRule="auto"/>
              <w:ind w:left="0" w:leftChars="0" w:right="168"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多机备份联动</w:t>
            </w:r>
          </w:p>
        </w:tc>
        <w:tc>
          <w:tcPr>
            <w:tcW w:w="3928" w:type="pct"/>
            <w:vAlign w:val="center"/>
          </w:tcPr>
          <w:p>
            <w:pPr>
              <w:pStyle w:val="4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机组控制器具有多台机组备份联动或多机组控制功能，包括备份自动切换、自动切换备份机组、自动控制机组中空调机运行数量以及避免同一机房内多台空调同时运行在相反的运行状态，且可控机组数量≥32台（提供相关组装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48" w:type="pct"/>
            <w:vAlign w:val="center"/>
          </w:tcPr>
          <w:p>
            <w:pPr>
              <w:pStyle w:val="46"/>
              <w:spacing w:before="117" w:line="240" w:lineRule="auto"/>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723" w:type="pct"/>
            <w:vMerge w:val="restart"/>
            <w:vAlign w:val="center"/>
          </w:tcPr>
          <w:p>
            <w:pPr>
              <w:pStyle w:val="46"/>
              <w:spacing w:line="240" w:lineRule="auto"/>
              <w:ind w:left="0"/>
              <w:jc w:val="center"/>
              <w:rPr>
                <w:rFonts w:hint="eastAsia" w:ascii="宋体" w:hAnsi="宋体" w:eastAsia="宋体" w:cs="宋体"/>
                <w:sz w:val="21"/>
                <w:szCs w:val="21"/>
                <w:highlight w:val="none"/>
              </w:rPr>
            </w:pPr>
          </w:p>
          <w:p>
            <w:pPr>
              <w:pStyle w:val="46"/>
              <w:spacing w:line="240" w:lineRule="auto"/>
              <w:ind w:left="0" w:leftChars="0"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运行维护</w:t>
            </w:r>
          </w:p>
        </w:tc>
        <w:tc>
          <w:tcPr>
            <w:tcW w:w="3928" w:type="pct"/>
            <w:vAlign w:val="center"/>
          </w:tcPr>
          <w:p>
            <w:pPr>
              <w:pStyle w:val="46"/>
              <w:spacing w:line="269"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具有低负载启动特性，即空调在启动时能够自动顺序延时启动，减少空调启动对其它设备影响。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348" w:type="pct"/>
            <w:vAlign w:val="center"/>
          </w:tcPr>
          <w:p>
            <w:pPr>
              <w:pStyle w:val="46"/>
              <w:spacing w:before="115" w:line="240" w:lineRule="auto"/>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723" w:type="pct"/>
            <w:vMerge w:val="continue"/>
            <w:tcBorders>
              <w:top w:val="nil"/>
            </w:tcBorders>
            <w:vAlign w:val="center"/>
          </w:tcPr>
          <w:p>
            <w:pPr>
              <w:jc w:val="center"/>
              <w:rPr>
                <w:rFonts w:hint="eastAsia" w:ascii="宋体" w:hAnsi="宋体" w:eastAsia="宋体" w:cs="宋体"/>
                <w:sz w:val="21"/>
                <w:szCs w:val="21"/>
                <w:highlight w:val="none"/>
              </w:rPr>
            </w:pPr>
          </w:p>
        </w:tc>
        <w:tc>
          <w:tcPr>
            <w:tcW w:w="3928" w:type="pct"/>
            <w:vAlign w:val="center"/>
          </w:tcPr>
          <w:p>
            <w:pPr>
              <w:pStyle w:val="46"/>
              <w:spacing w:line="272" w:lineRule="exact"/>
              <w:ind w:right="93"/>
              <w:jc w:val="both"/>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具有大屏幕中文显示器，能显示温湿度，机组内各组件的运行状态等信息。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723" w:type="pct"/>
            <w:vMerge w:val="continue"/>
            <w:tcBorders>
              <w:top w:val="nil"/>
            </w:tcBorders>
            <w:vAlign w:val="center"/>
          </w:tcPr>
          <w:p>
            <w:pPr>
              <w:jc w:val="center"/>
              <w:rPr>
                <w:rFonts w:hint="eastAsia" w:ascii="宋体" w:hAnsi="宋体" w:eastAsia="宋体" w:cs="宋体"/>
                <w:sz w:val="21"/>
                <w:szCs w:val="21"/>
                <w:highlight w:val="none"/>
              </w:rPr>
            </w:pPr>
          </w:p>
        </w:tc>
        <w:tc>
          <w:tcPr>
            <w:tcW w:w="3928" w:type="pct"/>
            <w:vAlign w:val="center"/>
          </w:tcPr>
          <w:p>
            <w:pPr>
              <w:pStyle w:val="46"/>
              <w:ind w:right="-29"/>
              <w:jc w:val="both"/>
              <w:rPr>
                <w:rFonts w:hint="eastAsia" w:ascii="宋体" w:hAnsi="宋体" w:eastAsia="宋体" w:cs="宋体"/>
                <w:sz w:val="21"/>
                <w:szCs w:val="21"/>
                <w:highlight w:val="none"/>
                <w:lang w:val="en-US" w:eastAsia="zh-CN"/>
              </w:rPr>
            </w:pPr>
            <w:r>
              <w:rPr>
                <w:rFonts w:hint="eastAsia" w:ascii="宋体" w:hAnsi="宋体" w:eastAsia="宋体" w:cs="宋体"/>
                <w:spacing w:val="-10"/>
                <w:sz w:val="21"/>
                <w:szCs w:val="21"/>
                <w:highlight w:val="none"/>
              </w:rPr>
              <w:t>具有故障报警记录存储功能，存储历史告警信息</w:t>
            </w:r>
            <w:r>
              <w:rPr>
                <w:rFonts w:hint="eastAsia" w:ascii="宋体" w:hAnsi="宋体" w:eastAsia="宋体" w:cs="宋体"/>
                <w:sz w:val="21"/>
                <w:szCs w:val="21"/>
                <w:highlight w:val="none"/>
              </w:rPr>
              <w:t>≥200</w:t>
            </w:r>
            <w:r>
              <w:rPr>
                <w:rFonts w:hint="eastAsia" w:ascii="宋体" w:hAnsi="宋体" w:eastAsia="宋体" w:cs="宋体"/>
                <w:spacing w:val="-27"/>
                <w:sz w:val="21"/>
                <w:szCs w:val="21"/>
                <w:highlight w:val="none"/>
              </w:rPr>
              <w:t xml:space="preserve"> 条</w:t>
            </w:r>
            <w:r>
              <w:rPr>
                <w:rFonts w:hint="eastAsia" w:cs="宋体"/>
                <w:spacing w:val="-27"/>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48" w:type="pct"/>
            <w:vAlign w:val="center"/>
          </w:tcPr>
          <w:p>
            <w:pPr>
              <w:pStyle w:val="46"/>
              <w:spacing w:before="2"/>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723" w:type="pct"/>
            <w:vMerge w:val="restart"/>
            <w:vAlign w:val="center"/>
          </w:tcPr>
          <w:p>
            <w:pPr>
              <w:pStyle w:val="46"/>
              <w:spacing w:before="163" w:line="240" w:lineRule="auto"/>
              <w:ind w:left="0" w:leftChars="0"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机组要求</w:t>
            </w:r>
          </w:p>
        </w:tc>
        <w:tc>
          <w:tcPr>
            <w:tcW w:w="3928" w:type="pct"/>
            <w:vAlign w:val="center"/>
          </w:tcPr>
          <w:p>
            <w:pPr>
              <w:pStyle w:val="46"/>
              <w:spacing w:line="29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每台机组应具有独立的控制系统、温湿度传感器等。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48" w:type="pct"/>
            <w:vAlign w:val="center"/>
          </w:tcPr>
          <w:p>
            <w:pPr>
              <w:pStyle w:val="46"/>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723" w:type="pct"/>
            <w:vMerge w:val="continue"/>
            <w:tcBorders>
              <w:top w:val="nil"/>
            </w:tcBorders>
            <w:vAlign w:val="center"/>
          </w:tcPr>
          <w:p>
            <w:pPr>
              <w:jc w:val="center"/>
              <w:rPr>
                <w:rFonts w:hint="eastAsia" w:ascii="宋体" w:hAnsi="宋体" w:eastAsia="宋体" w:cs="宋体"/>
                <w:sz w:val="21"/>
                <w:szCs w:val="21"/>
                <w:highlight w:val="none"/>
              </w:rPr>
            </w:pPr>
          </w:p>
        </w:tc>
        <w:tc>
          <w:tcPr>
            <w:tcW w:w="3928" w:type="pct"/>
            <w:vAlign w:val="center"/>
          </w:tcPr>
          <w:p>
            <w:pPr>
              <w:pStyle w:val="46"/>
              <w:spacing w:line="288"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每台机组标配漏水告警器，实时监控漏水情况。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48" w:type="pct"/>
            <w:vAlign w:val="center"/>
          </w:tcPr>
          <w:p>
            <w:pPr>
              <w:pStyle w:val="46"/>
              <w:spacing w:before="57" w:line="240" w:lineRule="auto"/>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723" w:type="pct"/>
            <w:vAlign w:val="center"/>
          </w:tcPr>
          <w:p>
            <w:pPr>
              <w:pStyle w:val="46"/>
              <w:spacing w:before="115"/>
              <w:ind w:left="0" w:leftChars="0"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通信接口</w:t>
            </w:r>
          </w:p>
        </w:tc>
        <w:tc>
          <w:tcPr>
            <w:tcW w:w="3928" w:type="pct"/>
            <w:vAlign w:val="center"/>
          </w:tcPr>
          <w:p>
            <w:pPr>
              <w:pStyle w:val="46"/>
              <w:spacing w:before="57"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具备RS232和RS485接口或TCP/IP，并免费提供通讯协议。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48" w:type="pct"/>
            <w:vAlign w:val="center"/>
          </w:tcPr>
          <w:p>
            <w:pPr>
              <w:pStyle w:val="46"/>
              <w:spacing w:before="117" w:line="240" w:lineRule="auto"/>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723" w:type="pct"/>
            <w:vAlign w:val="center"/>
          </w:tcPr>
          <w:p>
            <w:pPr>
              <w:pStyle w:val="46"/>
              <w:spacing w:before="117" w:line="240"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告警诊断</w:t>
            </w:r>
          </w:p>
        </w:tc>
        <w:tc>
          <w:tcPr>
            <w:tcW w:w="3928" w:type="pct"/>
            <w:vAlign w:val="center"/>
          </w:tcPr>
          <w:p>
            <w:pPr>
              <w:pStyle w:val="46"/>
              <w:spacing w:line="269"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机组具有过压、欠压等报警及故障诊断，自动保护，自动恢复，自动重启等功能。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48" w:type="pct"/>
            <w:vAlign w:val="center"/>
          </w:tcPr>
          <w:p>
            <w:pPr>
              <w:pStyle w:val="46"/>
              <w:spacing w:before="2"/>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723" w:type="pct"/>
            <w:vAlign w:val="center"/>
          </w:tcPr>
          <w:p>
            <w:pPr>
              <w:pStyle w:val="46"/>
              <w:spacing w:before="2"/>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高可靠性</w:t>
            </w:r>
          </w:p>
        </w:tc>
        <w:tc>
          <w:tcPr>
            <w:tcW w:w="3928" w:type="pct"/>
            <w:vAlign w:val="center"/>
          </w:tcPr>
          <w:p>
            <w:pPr>
              <w:pStyle w:val="46"/>
              <w:spacing w:before="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机组平均无故障时间≥10万小时。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48" w:type="pct"/>
            <w:vAlign w:val="center"/>
          </w:tcPr>
          <w:p>
            <w:pPr>
              <w:pStyle w:val="46"/>
              <w:spacing w:before="117" w:line="240" w:lineRule="auto"/>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723" w:type="pct"/>
            <w:vAlign w:val="center"/>
          </w:tcPr>
          <w:p>
            <w:pPr>
              <w:pStyle w:val="46"/>
              <w:spacing w:before="117" w:line="240"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参数设置</w:t>
            </w:r>
          </w:p>
        </w:tc>
        <w:tc>
          <w:tcPr>
            <w:tcW w:w="3928" w:type="pct"/>
            <w:vAlign w:val="center"/>
          </w:tcPr>
          <w:p>
            <w:pPr>
              <w:pStyle w:val="46"/>
              <w:spacing w:before="1" w:line="274" w:lineRule="exact"/>
              <w:ind w:right="27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对超常规的参数设置，具备智能判断功能，具备自动拒绝功能。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348" w:type="pct"/>
          </w:tcPr>
          <w:p>
            <w:pPr>
              <w:pStyle w:val="46"/>
              <w:spacing w:before="7" w:line="240" w:lineRule="auto"/>
              <w:ind w:left="0"/>
              <w:rPr>
                <w:rFonts w:hint="eastAsia" w:ascii="宋体" w:hAnsi="宋体" w:eastAsia="宋体" w:cs="宋体"/>
                <w:sz w:val="21"/>
                <w:szCs w:val="21"/>
                <w:highlight w:val="none"/>
              </w:rPr>
            </w:pPr>
          </w:p>
          <w:p>
            <w:pPr>
              <w:pStyle w:val="46"/>
              <w:spacing w:line="240" w:lineRule="auto"/>
              <w:ind w:left="162" w:right="15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723" w:type="pct"/>
          </w:tcPr>
          <w:p>
            <w:pPr>
              <w:pStyle w:val="46"/>
              <w:spacing w:before="7" w:line="240" w:lineRule="auto"/>
              <w:ind w:left="0"/>
              <w:rPr>
                <w:rFonts w:hint="eastAsia" w:ascii="宋体" w:hAnsi="宋体" w:eastAsia="宋体" w:cs="宋体"/>
                <w:sz w:val="21"/>
                <w:szCs w:val="21"/>
                <w:highlight w:val="none"/>
              </w:rPr>
            </w:pPr>
          </w:p>
          <w:p>
            <w:pPr>
              <w:pStyle w:val="46"/>
              <w:spacing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tc>
        <w:tc>
          <w:tcPr>
            <w:tcW w:w="3928" w:type="pct"/>
          </w:tcPr>
          <w:p>
            <w:pPr>
              <w:pStyle w:val="46"/>
              <w:spacing w:line="272"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应配备设备承重 1 套（满足空调承重要求和相关规范要求）、上下水 1 套（满足空调恒温、恒湿等相关要求）</w:t>
            </w:r>
            <w:r>
              <w:rPr>
                <w:rFonts w:hint="eastAsia" w:ascii="宋体" w:hAnsi="宋体" w:eastAsia="宋体" w:cs="宋体"/>
                <w:spacing w:val="-12"/>
                <w:sz w:val="21"/>
                <w:szCs w:val="21"/>
                <w:highlight w:val="none"/>
              </w:rPr>
              <w:t xml:space="preserve">、导流板 </w:t>
            </w:r>
            <w:r>
              <w:rPr>
                <w:rFonts w:hint="eastAsia" w:ascii="宋体" w:hAnsi="宋体" w:eastAsia="宋体" w:cs="宋体"/>
                <w:sz w:val="21"/>
                <w:szCs w:val="21"/>
                <w:highlight w:val="none"/>
              </w:rPr>
              <w:t>1</w:t>
            </w:r>
            <w:r>
              <w:rPr>
                <w:rFonts w:hint="eastAsia" w:ascii="宋体" w:hAnsi="宋体" w:eastAsia="宋体" w:cs="宋体"/>
                <w:spacing w:val="-30"/>
                <w:sz w:val="21"/>
                <w:szCs w:val="21"/>
                <w:highlight w:val="none"/>
              </w:rPr>
              <w:t xml:space="preserve"> 套</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rPr>
              <w:t>选择适宜的出风角度，确保机房制</w:t>
            </w:r>
            <w:r>
              <w:rPr>
                <w:rFonts w:hint="eastAsia" w:ascii="宋体" w:hAnsi="宋体" w:eastAsia="宋体" w:cs="宋体"/>
                <w:sz w:val="21"/>
                <w:szCs w:val="21"/>
                <w:highlight w:val="none"/>
              </w:rPr>
              <w:t>冷效果）、空调外机降噪、辅材、安装以及调试等。</w:t>
            </w:r>
          </w:p>
        </w:tc>
      </w:tr>
    </w:tbl>
    <w:p>
      <w:pPr>
        <w:spacing w:after="0" w:line="276" w:lineRule="exact"/>
        <w:rPr>
          <w:rFonts w:hint="eastAsia" w:ascii="宋体" w:hAnsi="宋体" w:eastAsia="宋体" w:cs="宋体"/>
          <w:sz w:val="21"/>
          <w:szCs w:val="21"/>
          <w:highlight w:val="none"/>
        </w:rPr>
        <w:sectPr>
          <w:footerReference r:id="rId9" w:type="default"/>
          <w:pgSz w:w="11910" w:h="16840"/>
          <w:pgMar w:top="1417" w:right="1560" w:bottom="1412" w:left="1560" w:header="720" w:footer="720" w:gutter="0"/>
          <w:pgNumType w:fmt="decimal"/>
          <w:cols w:equalWidth="0" w:num="1">
            <w:col w:w="8790"/>
          </w:cols>
          <w:rtlGutter w:val="0"/>
          <w:docGrid w:linePitch="0" w:charSpace="0"/>
        </w:sectPr>
      </w:pPr>
    </w:p>
    <w:p>
      <w:pPr>
        <w:pStyle w:val="3"/>
        <w:spacing w:before="34"/>
        <w:rPr>
          <w:rFonts w:hint="eastAsia" w:ascii="宋体" w:hAnsi="宋体" w:eastAsia="宋体" w:cs="宋体"/>
          <w:sz w:val="21"/>
          <w:szCs w:val="21"/>
          <w:highlight w:val="none"/>
        </w:rPr>
      </w:pPr>
      <w:r>
        <w:rPr>
          <w:rFonts w:hint="eastAsia" w:ascii="宋体" w:hAnsi="宋体" w:eastAsia="宋体" w:cs="宋体"/>
          <w:sz w:val="21"/>
          <w:szCs w:val="21"/>
          <w:highlight w:val="none"/>
        </w:rPr>
        <w:t>附件 2：校园网机房专用空调 2 技术参数</w:t>
      </w:r>
    </w:p>
    <w:tbl>
      <w:tblPr>
        <w:tblStyle w:val="19"/>
        <w:tblW w:w="51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2"/>
        <w:gridCol w:w="1466"/>
        <w:gridCol w:w="6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指标项目</w:t>
            </w:r>
          </w:p>
        </w:tc>
        <w:tc>
          <w:tcPr>
            <w:tcW w:w="3838" w:type="pct"/>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材质要求</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全金属防腐材质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★机组架构</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采用模块化框架结构，可按柜体拆解以及采用不同模块拼装实现不同的制冷量（须提供机组按柜体模块拆装示意图）。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控制系统</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每台机组均应具有先进的微处理控制器，且均可以作为主机实现群控。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★风机系统</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采用EC风机。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★压缩机</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≥2，且高效可调速。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冷却方式</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风冷冷却（须提供风冷冷凝器的供电模式）。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送风方式</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下送风，上回风。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★制冷量</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送风量</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≥22km³/h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V型蒸发器</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每个制冷模块采用单独蒸发器。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电压范围</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380+15%～-10%。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工作频率</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50HZ±2HZ。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防雷设计</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内置防雷器。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温度</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室内：-10℃～+30℃。</w:t>
            </w:r>
          </w:p>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室外：-15℃～+45℃。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湿度</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≤95%RH。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调节范围</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温度+18℃～+28℃，湿度 40%-60%RH。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调节精度</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温度±2℃，温度变化率5℃/小时；湿度调节精度±5%RH。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报警功能</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具有温湿度波动超限发出报警信号功能。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350" w:type="pct"/>
            <w:vAlign w:val="center"/>
          </w:tcPr>
          <w:p>
            <w:pPr>
              <w:pStyle w:val="46"/>
              <w:ind w:right="15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811" w:type="pct"/>
            <w:vAlign w:val="center"/>
          </w:tcPr>
          <w:p>
            <w:pPr>
              <w:pStyle w:val="46"/>
              <w:ind w:right="15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多机备份联动</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机组控制器具有多台机组备份联动或多机组控制功能，包括备份自动切换、自动切换备份机组、自动控制机组中空调机运行数量以及避免同一机房内多台空调同时运行在相反的运行状态，且可控机组数量≥32台（提供相关组装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811" w:type="pct"/>
            <w:vMerge w:val="restart"/>
            <w:vAlign w:val="center"/>
          </w:tcPr>
          <w:p>
            <w:pPr>
              <w:pStyle w:val="46"/>
              <w:ind w:left="0" w:leftChars="0" w:right="155"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运行维护</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具有低负载启动特性，即空调在启动时能够自动顺序延时启动，减少空调启动对其它设备影响。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811" w:type="pct"/>
            <w:vMerge w:val="continue"/>
            <w:tcBorders>
              <w:top w:val="nil"/>
            </w:tcBorders>
            <w:vAlign w:val="center"/>
          </w:tcPr>
          <w:p>
            <w:pPr>
              <w:pStyle w:val="46"/>
              <w:ind w:left="0" w:leftChars="0" w:right="155" w:firstLine="0" w:firstLineChars="0"/>
              <w:jc w:val="center"/>
              <w:rPr>
                <w:rFonts w:hint="eastAsia" w:ascii="宋体" w:hAnsi="宋体" w:eastAsia="宋体" w:cs="宋体"/>
                <w:sz w:val="21"/>
                <w:szCs w:val="21"/>
                <w:highlight w:val="none"/>
              </w:rPr>
            </w:pP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具有大屏幕中文显示器，能显示温湿度，机组内各组件的运行状态等信息。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811" w:type="pct"/>
            <w:vMerge w:val="continue"/>
            <w:tcBorders>
              <w:top w:val="nil"/>
            </w:tcBorders>
            <w:vAlign w:val="center"/>
          </w:tcPr>
          <w:p>
            <w:pPr>
              <w:pStyle w:val="46"/>
              <w:ind w:left="0" w:leftChars="0" w:right="155" w:firstLine="0" w:firstLineChars="0"/>
              <w:jc w:val="center"/>
              <w:rPr>
                <w:rFonts w:hint="eastAsia" w:ascii="宋体" w:hAnsi="宋体" w:eastAsia="宋体" w:cs="宋体"/>
                <w:sz w:val="21"/>
                <w:szCs w:val="21"/>
                <w:highlight w:val="none"/>
              </w:rPr>
            </w:pP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具有故障报警记录存储功能，存储历史告警信息≥200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811" w:type="pct"/>
            <w:vMerge w:val="restar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机组要求</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每台机组应具有独立的控制系统、温湿度传感器等。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811" w:type="pct"/>
            <w:vMerge w:val="continue"/>
            <w:tcBorders>
              <w:top w:val="nil"/>
            </w:tcBorders>
            <w:vAlign w:val="center"/>
          </w:tcPr>
          <w:p>
            <w:pPr>
              <w:pStyle w:val="46"/>
              <w:ind w:left="0" w:leftChars="0" w:right="155" w:firstLine="0" w:firstLineChars="0"/>
              <w:jc w:val="center"/>
              <w:rPr>
                <w:rFonts w:hint="eastAsia" w:ascii="宋体" w:hAnsi="宋体" w:eastAsia="宋体" w:cs="宋体"/>
                <w:sz w:val="21"/>
                <w:szCs w:val="21"/>
                <w:highlight w:val="none"/>
              </w:rPr>
            </w:pP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每台机组标配漏水告警器，实时监控漏水情况。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通信接口</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具备RS232和RS485接口或TCP/IP，并免费提供通讯协议。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告警诊断</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机组具有过压、欠压等报警及故障诊断，自动保护，自动恢复，自动重启等功能。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高可靠性</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机组平均无故障时间≥10万小时。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参数设置</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对超常规的参数设置，具备智能判断功能，具备自动拒绝功能。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350"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811" w:type="pct"/>
            <w:vAlign w:val="center"/>
          </w:tcPr>
          <w:p>
            <w:pPr>
              <w:pStyle w:val="46"/>
              <w:ind w:left="0" w:leftChars="0" w:right="155"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tc>
        <w:tc>
          <w:tcPr>
            <w:tcW w:w="3838" w:type="pct"/>
            <w:vAlign w:val="center"/>
          </w:tcPr>
          <w:p>
            <w:pPr>
              <w:pStyle w:val="46"/>
              <w:ind w:left="0" w:leftChars="0" w:right="15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应配备设备承重 1 套（满足空调承重要求和相关规范要求）、上下水 1 套（满足空调恒温、恒湿等相关要求）、导流板 1 套（选择适宜的出风角度，确保机房制冷效果）、空调外机降噪、辅材、安装以及调试等。</w:t>
            </w:r>
          </w:p>
        </w:tc>
      </w:tr>
    </w:tbl>
    <w:p>
      <w:pPr>
        <w:pStyle w:val="46"/>
        <w:ind w:left="0" w:leftChars="0" w:right="155" w:firstLine="0" w:firstLineChars="0"/>
        <w:jc w:val="center"/>
        <w:rPr>
          <w:rFonts w:hint="eastAsia" w:ascii="宋体" w:hAnsi="宋体" w:eastAsia="宋体" w:cs="宋体"/>
          <w:sz w:val="21"/>
          <w:szCs w:val="21"/>
          <w:highlight w:val="none"/>
        </w:rPr>
        <w:sectPr>
          <w:pgSz w:w="11910" w:h="16840"/>
          <w:pgMar w:top="1520" w:right="1560" w:bottom="280" w:left="1560" w:header="720" w:footer="720" w:gutter="0"/>
          <w:pgNumType w:fmt="decimal"/>
          <w:cols w:equalWidth="0" w:num="1">
            <w:col w:w="8790"/>
          </w:cols>
        </w:sectPr>
      </w:pPr>
    </w:p>
    <w:p>
      <w:pPr>
        <w:pStyle w:val="2"/>
        <w:ind w:left="0" w:leftChars="0" w:firstLine="0" w:firstLineChars="0"/>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5"/>
        <w:spacing w:before="156" w:after="156"/>
        <w:jc w:val="both"/>
        <w:rPr>
          <w:rFonts w:hint="eastAsia" w:ascii="黑体" w:hAnsi="黑体" w:eastAsia="黑体" w:cs="黑体"/>
          <w:b/>
          <w:bCs/>
          <w:sz w:val="36"/>
          <w:szCs w:val="36"/>
          <w:highlight w:val="none"/>
        </w:rPr>
      </w:pPr>
      <w:bookmarkStart w:id="57" w:name="_Toc2460"/>
      <w:bookmarkStart w:id="58" w:name="_Toc28150"/>
      <w:bookmarkStart w:id="59" w:name="_Toc468350119"/>
    </w:p>
    <w:p>
      <w:pPr>
        <w:pStyle w:val="5"/>
        <w:spacing w:before="156" w:after="156"/>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第四部分 主要合同条款及合同格式</w:t>
      </w:r>
      <w:bookmarkEnd w:id="57"/>
      <w:bookmarkEnd w:id="58"/>
      <w:bookmarkEnd w:id="59"/>
    </w:p>
    <w:p>
      <w:pPr>
        <w:snapToGrid w:val="0"/>
        <w:spacing w:line="360" w:lineRule="auto"/>
        <w:ind w:right="480"/>
        <w:jc w:val="center"/>
        <w:rPr>
          <w:rFonts w:hint="eastAsia" w:ascii="黑体" w:hAnsi="黑体" w:eastAsia="黑体" w:cs="黑体"/>
          <w:b w:val="0"/>
          <w:bCs w:val="0"/>
          <w:sz w:val="28"/>
          <w:szCs w:val="28"/>
          <w:highlight w:val="none"/>
          <w:u w:val="single"/>
        </w:rPr>
      </w:pPr>
      <w:r>
        <w:rPr>
          <w:rFonts w:hint="eastAsia" w:ascii="黑体" w:hAnsi="黑体" w:eastAsia="黑体" w:cs="黑体"/>
          <w:b w:val="0"/>
          <w:bCs w:val="0"/>
          <w:sz w:val="28"/>
          <w:szCs w:val="28"/>
          <w:highlight w:val="none"/>
        </w:rPr>
        <w:t>(参照执行)</w:t>
      </w:r>
    </w:p>
    <w:p>
      <w:pPr>
        <w:snapToGrid w:val="0"/>
        <w:spacing w:line="360" w:lineRule="auto"/>
        <w:ind w:right="480"/>
        <w:jc w:val="left"/>
        <w:rPr>
          <w:rFonts w:hint="eastAsia" w:ascii="宋体" w:hAnsi="宋体" w:eastAsia="宋体" w:cs="宋体"/>
          <w:b w:val="0"/>
          <w:bCs/>
          <w:sz w:val="30"/>
          <w:szCs w:val="30"/>
          <w:highlight w:val="none"/>
          <w:u w:val="single"/>
        </w:rPr>
      </w:pPr>
    </w:p>
    <w:p>
      <w:pPr>
        <w:widowControl/>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jc w:val="center"/>
        <w:rPr>
          <w:rFonts w:ascii="黑体" w:hAnsi="黑体" w:eastAsia="黑体"/>
          <w:b/>
          <w:position w:val="16"/>
          <w:sz w:val="36"/>
          <w:szCs w:val="36"/>
          <w:highlight w:val="none"/>
        </w:rPr>
      </w:pPr>
      <w:r>
        <w:rPr>
          <w:rFonts w:hint="eastAsia" w:ascii="黑体" w:hAnsi="黑体" w:eastAsia="黑体"/>
          <w:b/>
          <w:position w:val="16"/>
          <w:sz w:val="36"/>
          <w:szCs w:val="36"/>
          <w:highlight w:val="none"/>
        </w:rPr>
        <w:t xml:space="preserve">采  购  </w:t>
      </w:r>
      <w:r>
        <w:rPr>
          <w:rFonts w:ascii="黑体" w:hAnsi="黑体" w:eastAsia="黑体"/>
          <w:b/>
          <w:position w:val="16"/>
          <w:sz w:val="36"/>
          <w:szCs w:val="36"/>
          <w:highlight w:val="none"/>
        </w:rPr>
        <w:t xml:space="preserve">合 </w:t>
      </w:r>
      <w:r>
        <w:rPr>
          <w:rFonts w:hint="eastAsia" w:ascii="黑体" w:hAnsi="黑体" w:eastAsia="黑体"/>
          <w:b/>
          <w:position w:val="16"/>
          <w:sz w:val="36"/>
          <w:szCs w:val="36"/>
          <w:highlight w:val="none"/>
        </w:rPr>
        <w:t xml:space="preserve"> </w:t>
      </w:r>
      <w:r>
        <w:rPr>
          <w:rFonts w:ascii="黑体" w:hAnsi="黑体" w:eastAsia="黑体"/>
          <w:b/>
          <w:position w:val="16"/>
          <w:sz w:val="36"/>
          <w:szCs w:val="36"/>
          <w:highlight w:val="none"/>
        </w:rPr>
        <w:t>同</w:t>
      </w:r>
      <w:r>
        <w:rPr>
          <w:rFonts w:hint="eastAsia" w:ascii="黑体" w:hAnsi="黑体" w:eastAsia="黑体"/>
          <w:b/>
          <w:position w:val="16"/>
          <w:sz w:val="36"/>
          <w:szCs w:val="36"/>
          <w:highlight w:val="none"/>
        </w:rPr>
        <w:t>(模板)</w:t>
      </w:r>
    </w:p>
    <w:p>
      <w:pPr>
        <w:spacing w:line="440" w:lineRule="exact"/>
        <w:rPr>
          <w:rFonts w:hint="eastAsia" w:ascii="仿宋" w:hAnsi="仿宋" w:eastAsia="仿宋" w:cs="宋体"/>
          <w:b/>
          <w:kern w:val="0"/>
          <w:sz w:val="24"/>
          <w:highlight w:val="none"/>
        </w:rPr>
      </w:pPr>
    </w:p>
    <w:p>
      <w:pPr>
        <w:spacing w:line="440" w:lineRule="exact"/>
        <w:rPr>
          <w:rFonts w:ascii="仿宋" w:hAnsi="仿宋" w:eastAsia="仿宋" w:cs="宋体"/>
          <w:kern w:val="0"/>
          <w:sz w:val="24"/>
          <w:highlight w:val="none"/>
        </w:rPr>
      </w:pPr>
      <w:r>
        <w:rPr>
          <w:rFonts w:hint="eastAsia" w:ascii="仿宋" w:hAnsi="仿宋" w:eastAsia="仿宋" w:cs="宋体"/>
          <w:b/>
          <w:kern w:val="0"/>
          <w:sz w:val="24"/>
          <w:highlight w:val="none"/>
        </w:rPr>
        <w:t>签订地点</w:t>
      </w:r>
      <w:r>
        <w:rPr>
          <w:rFonts w:hint="eastAsia" w:ascii="仿宋" w:hAnsi="仿宋" w:eastAsia="仿宋" w:cs="宋体"/>
          <w:kern w:val="0"/>
          <w:sz w:val="24"/>
          <w:highlight w:val="none"/>
        </w:rPr>
        <w:t xml:space="preserve">：哈尔滨                             </w:t>
      </w:r>
      <w:r>
        <w:rPr>
          <w:rFonts w:hint="eastAsia" w:ascii="仿宋" w:hAnsi="仿宋" w:eastAsia="仿宋" w:cs="宋体"/>
          <w:b/>
          <w:kern w:val="0"/>
          <w:sz w:val="24"/>
          <w:highlight w:val="none"/>
        </w:rPr>
        <w:t>合同编号</w:t>
      </w:r>
      <w:r>
        <w:rPr>
          <w:rFonts w:hint="eastAsia" w:ascii="仿宋" w:hAnsi="仿宋" w:eastAsia="仿宋" w:cs="宋体"/>
          <w:kern w:val="0"/>
          <w:sz w:val="24"/>
          <w:highlight w:val="none"/>
        </w:rPr>
        <w:t>：</w:t>
      </w:r>
    </w:p>
    <w:p>
      <w:pPr>
        <w:widowControl/>
        <w:spacing w:line="440" w:lineRule="exact"/>
        <w:textAlignment w:val="center"/>
        <w:rPr>
          <w:rFonts w:ascii="仿宋" w:hAnsi="仿宋" w:eastAsia="仿宋" w:cs="楷体_GB2312"/>
          <w:kern w:val="0"/>
          <w:sz w:val="24"/>
          <w:highlight w:val="none"/>
        </w:rPr>
      </w:pPr>
      <w:r>
        <w:rPr>
          <w:rStyle w:val="38"/>
          <w:rFonts w:ascii="仿宋" w:hAnsi="仿宋" w:eastAsia="仿宋"/>
          <w:b/>
          <w:sz w:val="24"/>
          <w:highlight w:val="none"/>
        </w:rPr>
        <w:t>甲方</w:t>
      </w:r>
      <w:r>
        <w:rPr>
          <w:rStyle w:val="38"/>
          <w:rFonts w:ascii="仿宋" w:hAnsi="仿宋" w:eastAsia="仿宋"/>
          <w:sz w:val="24"/>
          <w:highlight w:val="none"/>
        </w:rPr>
        <w:t>：</w:t>
      </w:r>
      <w:r>
        <w:rPr>
          <w:rFonts w:ascii="仿宋" w:hAnsi="仿宋" w:eastAsia="仿宋" w:cs="楷体_GB2312"/>
          <w:kern w:val="0"/>
          <w:sz w:val="24"/>
          <w:highlight w:val="none"/>
        </w:rPr>
        <w:t>哈尔滨工程大学</w:t>
      </w:r>
      <w:r>
        <w:rPr>
          <w:rFonts w:hint="eastAsia" w:ascii="仿宋" w:hAnsi="仿宋" w:eastAsia="仿宋" w:cs="楷体_GB2312"/>
          <w:kern w:val="0"/>
          <w:sz w:val="24"/>
          <w:highlight w:val="none"/>
        </w:rPr>
        <w:t xml:space="preserve">                         </w:t>
      </w:r>
      <w:r>
        <w:rPr>
          <w:rFonts w:hint="eastAsia" w:ascii="仿宋" w:hAnsi="仿宋" w:eastAsia="仿宋" w:cs="宋体"/>
          <w:b/>
          <w:kern w:val="0"/>
          <w:sz w:val="24"/>
          <w:highlight w:val="none"/>
        </w:rPr>
        <w:t>乙方：</w:t>
      </w:r>
      <w:r>
        <w:rPr>
          <w:rFonts w:hint="eastAsia" w:ascii="仿宋" w:hAnsi="仿宋" w:eastAsia="仿宋" w:cs="楷体_GB2312"/>
          <w:kern w:val="0"/>
          <w:sz w:val="24"/>
          <w:highlight w:val="none"/>
        </w:rPr>
        <w:t>**************</w:t>
      </w:r>
    </w:p>
    <w:p>
      <w:pPr>
        <w:widowControl/>
        <w:spacing w:line="440" w:lineRule="exact"/>
        <w:textAlignment w:val="center"/>
        <w:rPr>
          <w:rFonts w:ascii="仿宋" w:hAnsi="仿宋" w:eastAsia="仿宋" w:cs="宋体"/>
          <w:b/>
          <w:sz w:val="24"/>
          <w:highlight w:val="none"/>
        </w:rPr>
      </w:pPr>
      <w:r>
        <w:rPr>
          <w:rStyle w:val="38"/>
          <w:rFonts w:ascii="仿宋" w:hAnsi="仿宋" w:eastAsia="仿宋"/>
          <w:b/>
          <w:sz w:val="24"/>
          <w:highlight w:val="none"/>
        </w:rPr>
        <w:t>地址</w:t>
      </w:r>
      <w:r>
        <w:rPr>
          <w:rStyle w:val="38"/>
          <w:rFonts w:ascii="仿宋" w:hAnsi="仿宋" w:eastAsia="仿宋"/>
          <w:sz w:val="24"/>
          <w:highlight w:val="none"/>
        </w:rPr>
        <w:t>：</w:t>
      </w:r>
      <w:r>
        <w:rPr>
          <w:rFonts w:ascii="仿宋" w:hAnsi="仿宋" w:eastAsia="仿宋" w:cs="楷体_GB2312"/>
          <w:kern w:val="0"/>
          <w:sz w:val="24"/>
          <w:highlight w:val="none"/>
        </w:rPr>
        <w:t>哈尔滨南岗区南通大街145号</w:t>
      </w:r>
      <w:r>
        <w:rPr>
          <w:rFonts w:hint="eastAsia" w:ascii="仿宋" w:hAnsi="仿宋" w:eastAsia="仿宋" w:cs="楷体_GB2312"/>
          <w:kern w:val="0"/>
          <w:sz w:val="24"/>
          <w:highlight w:val="none"/>
        </w:rPr>
        <w:t xml:space="preserve">             </w:t>
      </w:r>
      <w:r>
        <w:rPr>
          <w:rStyle w:val="38"/>
          <w:rFonts w:ascii="仿宋" w:hAnsi="仿宋" w:eastAsia="仿宋"/>
          <w:b/>
          <w:sz w:val="24"/>
          <w:highlight w:val="none"/>
        </w:rPr>
        <w:t>地址</w:t>
      </w:r>
      <w:r>
        <w:rPr>
          <w:rStyle w:val="38"/>
          <w:rFonts w:ascii="仿宋" w:hAnsi="仿宋" w:eastAsia="仿宋"/>
          <w:sz w:val="24"/>
          <w:highlight w:val="none"/>
        </w:rPr>
        <w:t>：</w:t>
      </w:r>
      <w:r>
        <w:rPr>
          <w:rFonts w:hint="eastAsia" w:ascii="仿宋" w:hAnsi="仿宋" w:eastAsia="仿宋" w:cs="楷体_GB2312"/>
          <w:kern w:val="0"/>
          <w:sz w:val="24"/>
          <w:highlight w:val="none"/>
        </w:rPr>
        <w:t>**************</w:t>
      </w:r>
      <w:r>
        <w:rPr>
          <w:rStyle w:val="38"/>
          <w:rFonts w:hint="eastAsia" w:ascii="仿宋" w:hAnsi="仿宋" w:eastAsia="仿宋"/>
          <w:sz w:val="24"/>
          <w:highlight w:val="none"/>
        </w:rPr>
        <w:t xml:space="preserve"> </w:t>
      </w:r>
    </w:p>
    <w:p>
      <w:pPr>
        <w:spacing w:line="440" w:lineRule="exact"/>
        <w:rPr>
          <w:rFonts w:ascii="仿宋" w:hAnsi="仿宋" w:eastAsia="仿宋" w:cs="楷体_GB2312"/>
          <w:kern w:val="0"/>
          <w:sz w:val="24"/>
          <w:highlight w:val="none"/>
        </w:rPr>
      </w:pPr>
      <w:r>
        <w:rPr>
          <w:rFonts w:hint="eastAsia" w:ascii="仿宋" w:hAnsi="仿宋" w:eastAsia="仿宋" w:cs="宋体"/>
          <w:b/>
          <w:kern w:val="0"/>
          <w:sz w:val="24"/>
          <w:highlight w:val="none"/>
        </w:rPr>
        <w:t>单位及电话：</w:t>
      </w:r>
      <w:r>
        <w:rPr>
          <w:rFonts w:hint="eastAsia" w:ascii="仿宋" w:hAnsi="仿宋" w:eastAsia="仿宋" w:cs="楷体_GB2312"/>
          <w:kern w:val="0"/>
          <w:sz w:val="24"/>
          <w:highlight w:val="none"/>
        </w:rPr>
        <w:t xml:space="preserve">****学院，                       </w:t>
      </w:r>
      <w:r>
        <w:rPr>
          <w:rFonts w:hint="eastAsia" w:ascii="仿宋" w:hAnsi="仿宋" w:eastAsia="仿宋" w:cs="宋体"/>
          <w:b/>
          <w:kern w:val="0"/>
          <w:sz w:val="24"/>
          <w:highlight w:val="none"/>
        </w:rPr>
        <w:t>电话：</w:t>
      </w:r>
      <w:r>
        <w:rPr>
          <w:rFonts w:hint="eastAsia" w:ascii="仿宋" w:hAnsi="仿宋" w:eastAsia="仿宋" w:cs="楷体_GB2312"/>
          <w:kern w:val="0"/>
          <w:sz w:val="24"/>
          <w:highlight w:val="none"/>
        </w:rPr>
        <w:t xml:space="preserve">******  </w:t>
      </w:r>
    </w:p>
    <w:p>
      <w:pPr>
        <w:pBdr>
          <w:bottom w:val="single" w:color="auto" w:sz="6" w:space="1"/>
        </w:pBdr>
        <w:spacing w:line="440" w:lineRule="exact"/>
        <w:rPr>
          <w:rFonts w:ascii="仿宋" w:hAnsi="仿宋" w:eastAsia="仿宋" w:cs="楷体_GB2312"/>
          <w:kern w:val="0"/>
          <w:sz w:val="24"/>
          <w:highlight w:val="none"/>
        </w:rPr>
      </w:pPr>
      <w:r>
        <w:rPr>
          <w:rFonts w:ascii="仿宋" w:hAnsi="仿宋" w:eastAsia="仿宋" w:cs="宋体"/>
          <w:b/>
          <w:kern w:val="0"/>
          <w:sz w:val="24"/>
          <w:highlight w:val="none"/>
        </w:rPr>
        <w:t>邮政编码:</w:t>
      </w:r>
      <w:r>
        <w:rPr>
          <w:rFonts w:ascii="仿宋" w:hAnsi="仿宋" w:eastAsia="仿宋"/>
          <w:kern w:val="0"/>
          <w:sz w:val="24"/>
          <w:highlight w:val="none"/>
        </w:rPr>
        <w:t xml:space="preserve"> 150001</w:t>
      </w:r>
      <w:r>
        <w:rPr>
          <w:rFonts w:hint="eastAsia" w:ascii="仿宋" w:hAnsi="仿宋" w:eastAsia="仿宋"/>
          <w:kern w:val="0"/>
          <w:sz w:val="24"/>
          <w:highlight w:val="none"/>
        </w:rPr>
        <w:t xml:space="preserve">                             </w:t>
      </w:r>
      <w:r>
        <w:rPr>
          <w:rFonts w:ascii="仿宋" w:hAnsi="仿宋" w:eastAsia="仿宋" w:cs="宋体"/>
          <w:b/>
          <w:kern w:val="0"/>
          <w:sz w:val="24"/>
          <w:highlight w:val="none"/>
        </w:rPr>
        <w:t>邮政编码</w:t>
      </w:r>
      <w:r>
        <w:rPr>
          <w:rFonts w:ascii="仿宋" w:hAnsi="仿宋" w:eastAsia="仿宋"/>
          <w:b/>
          <w:kern w:val="0"/>
          <w:sz w:val="24"/>
          <w:highlight w:val="none"/>
        </w:rPr>
        <w:t>:</w:t>
      </w:r>
      <w:r>
        <w:rPr>
          <w:rFonts w:hint="eastAsia" w:ascii="仿宋" w:hAnsi="仿宋" w:eastAsia="仿宋" w:cs="楷体_GB2312"/>
          <w:kern w:val="0"/>
          <w:sz w:val="24"/>
          <w:highlight w:val="none"/>
        </w:rPr>
        <w:t xml:space="preserve"> ******  </w:t>
      </w:r>
    </w:p>
    <w:p>
      <w:pPr>
        <w:rPr>
          <w:rFonts w:ascii="仿宋" w:hAnsi="仿宋" w:eastAsia="仿宋" w:cs="楷体_GB2312"/>
          <w:kern w:val="0"/>
          <w:sz w:val="24"/>
          <w:highlight w:val="none"/>
        </w:rPr>
      </w:pPr>
      <w:r>
        <w:rPr>
          <w:rFonts w:hint="eastAsia" w:ascii="仿宋" w:hAnsi="仿宋" w:eastAsia="仿宋" w:cs="楷体_GB2312"/>
          <w:kern w:val="0"/>
          <w:sz w:val="24"/>
          <w:highlight w:val="none"/>
        </w:rPr>
        <w:t xml:space="preserve">                  </w:t>
      </w:r>
    </w:p>
    <w:p>
      <w:pPr>
        <w:pStyle w:val="3"/>
        <w:suppressAutoHyphens/>
        <w:adjustRightInd w:val="0"/>
        <w:snapToGrid w:val="0"/>
        <w:spacing w:after="0" w:line="440" w:lineRule="exact"/>
        <w:ind w:right="105" w:rightChars="50" w:firstLine="480" w:firstLineChars="200"/>
        <w:rPr>
          <w:rFonts w:ascii="仿宋" w:hAnsi="仿宋" w:eastAsia="仿宋" w:cs="仿宋"/>
          <w:sz w:val="24"/>
          <w:highlight w:val="none"/>
        </w:rPr>
      </w:pPr>
      <w:r>
        <w:rPr>
          <w:rFonts w:hint="eastAsia" w:ascii="仿宋" w:hAnsi="仿宋" w:eastAsia="仿宋" w:cs="仿宋"/>
          <w:sz w:val="24"/>
          <w:highlight w:val="none"/>
        </w:rPr>
        <w:t>根据《中华人民共和国合同法》及其他有关法律、法规的规定，遵循平等、自愿、公平和诚实信用原则，甲、乙双方现就</w:t>
      </w:r>
      <w:r>
        <w:rPr>
          <w:rFonts w:hint="eastAsia" w:ascii="仿宋" w:hAnsi="仿宋" w:eastAsia="仿宋" w:cs="仿宋"/>
          <w:kern w:val="0"/>
          <w:sz w:val="24"/>
          <w:highlight w:val="none"/>
        </w:rPr>
        <w:t>********</w:t>
      </w:r>
      <w:r>
        <w:rPr>
          <w:rFonts w:hint="eastAsia" w:ascii="仿宋" w:hAnsi="仿宋" w:eastAsia="仿宋" w:cs="仿宋"/>
          <w:sz w:val="24"/>
          <w:highlight w:val="none"/>
        </w:rPr>
        <w:t>采购及服务事宜，经充分协商，同意按如下条款订立本合同：</w:t>
      </w:r>
    </w:p>
    <w:p>
      <w:pPr>
        <w:pStyle w:val="3"/>
        <w:suppressAutoHyphens/>
        <w:adjustRightInd w:val="0"/>
        <w:snapToGrid w:val="0"/>
        <w:spacing w:after="0" w:line="240" w:lineRule="atLeast"/>
        <w:rPr>
          <w:highlight w:val="none"/>
        </w:rPr>
      </w:pPr>
    </w:p>
    <w:p>
      <w:pPr>
        <w:pStyle w:val="3"/>
        <w:suppressAutoHyphens/>
        <w:adjustRightInd w:val="0"/>
        <w:snapToGrid w:val="0"/>
        <w:spacing w:after="0" w:line="240" w:lineRule="atLeast"/>
        <w:rPr>
          <w:rFonts w:ascii="仿宋" w:hAnsi="仿宋" w:eastAsia="仿宋" w:cs="仿宋"/>
          <w:sz w:val="24"/>
          <w:highlight w:val="none"/>
        </w:rPr>
      </w:pPr>
      <w:r>
        <w:rPr>
          <w:rFonts w:hint="eastAsia" w:ascii="仿宋" w:hAnsi="仿宋" w:eastAsia="仿宋" w:cs="仿宋"/>
          <w:b/>
          <w:kern w:val="0"/>
          <w:sz w:val="24"/>
          <w:highlight w:val="none"/>
        </w:rPr>
        <w:t>第一条 合同内容：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134"/>
        <w:gridCol w:w="1417"/>
        <w:gridCol w:w="1276"/>
        <w:gridCol w:w="93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序号</w:t>
            </w:r>
          </w:p>
        </w:tc>
        <w:tc>
          <w:tcPr>
            <w:tcW w:w="2410" w:type="dxa"/>
            <w:noWrap w:val="0"/>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货物名称</w:t>
            </w:r>
          </w:p>
        </w:tc>
        <w:tc>
          <w:tcPr>
            <w:tcW w:w="1134" w:type="dxa"/>
            <w:noWrap w:val="0"/>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品牌</w:t>
            </w:r>
          </w:p>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型号</w:t>
            </w:r>
          </w:p>
        </w:tc>
        <w:tc>
          <w:tcPr>
            <w:tcW w:w="1417" w:type="dxa"/>
            <w:noWrap w:val="0"/>
            <w:vAlign w:val="center"/>
          </w:tcPr>
          <w:p>
            <w:pPr>
              <w:widowControl/>
              <w:suppressAutoHyphens/>
              <w:spacing w:line="240" w:lineRule="atLeas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主要性能</w:t>
            </w:r>
          </w:p>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指标</w:t>
            </w:r>
          </w:p>
        </w:tc>
        <w:tc>
          <w:tcPr>
            <w:tcW w:w="1276" w:type="dxa"/>
            <w:noWrap w:val="0"/>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数量</w:t>
            </w:r>
          </w:p>
        </w:tc>
        <w:tc>
          <w:tcPr>
            <w:tcW w:w="936" w:type="dxa"/>
            <w:noWrap w:val="0"/>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单价</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（元）</w:t>
            </w:r>
          </w:p>
        </w:tc>
        <w:tc>
          <w:tcPr>
            <w:tcW w:w="1296" w:type="dxa"/>
            <w:noWrap w:val="0"/>
            <w:vAlign w:val="center"/>
          </w:tcPr>
          <w:p>
            <w:pPr>
              <w:widowControl/>
              <w:suppressAutoHyphens/>
              <w:spacing w:line="240" w:lineRule="atLeast"/>
              <w:jc w:val="center"/>
              <w:rPr>
                <w:rFonts w:ascii="仿宋" w:hAnsi="仿宋" w:eastAsia="仿宋" w:cs="仿宋"/>
                <w:kern w:val="0"/>
                <w:sz w:val="24"/>
                <w:highlight w:val="none"/>
              </w:rPr>
            </w:pPr>
            <w:r>
              <w:rPr>
                <w:rFonts w:hint="eastAsia" w:ascii="仿宋" w:hAnsi="仿宋" w:eastAsia="仿宋" w:cs="仿宋"/>
                <w:kern w:val="0"/>
                <w:sz w:val="24"/>
                <w:szCs w:val="24"/>
                <w:highlight w:val="none"/>
              </w:rPr>
              <w:t>金额</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rPr>
                <w:highlight w:val="none"/>
              </w:rPr>
            </w:pPr>
          </w:p>
        </w:tc>
        <w:tc>
          <w:tcPr>
            <w:tcW w:w="2410" w:type="dxa"/>
            <w:noWrap w:val="0"/>
            <w:vAlign w:val="center"/>
          </w:tcPr>
          <w:p>
            <w:pPr>
              <w:spacing w:line="240" w:lineRule="atLeast"/>
              <w:rPr>
                <w:highlight w:val="none"/>
              </w:rPr>
            </w:pPr>
          </w:p>
        </w:tc>
        <w:tc>
          <w:tcPr>
            <w:tcW w:w="1134" w:type="dxa"/>
            <w:noWrap w:val="0"/>
            <w:vAlign w:val="center"/>
          </w:tcPr>
          <w:p>
            <w:pPr>
              <w:spacing w:line="240" w:lineRule="atLeast"/>
              <w:rPr>
                <w:highlight w:val="none"/>
              </w:rPr>
            </w:pPr>
          </w:p>
        </w:tc>
        <w:tc>
          <w:tcPr>
            <w:tcW w:w="1417" w:type="dxa"/>
            <w:noWrap w:val="0"/>
            <w:vAlign w:val="center"/>
          </w:tcPr>
          <w:p>
            <w:pPr>
              <w:spacing w:line="240" w:lineRule="atLeast"/>
              <w:rPr>
                <w:highlight w:val="none"/>
              </w:rPr>
            </w:pPr>
          </w:p>
        </w:tc>
        <w:tc>
          <w:tcPr>
            <w:tcW w:w="1276" w:type="dxa"/>
            <w:noWrap w:val="0"/>
            <w:vAlign w:val="center"/>
          </w:tcPr>
          <w:p>
            <w:pPr>
              <w:spacing w:line="240" w:lineRule="atLeast"/>
              <w:rPr>
                <w:highlight w:val="none"/>
              </w:rPr>
            </w:pPr>
          </w:p>
        </w:tc>
        <w:tc>
          <w:tcPr>
            <w:tcW w:w="936" w:type="dxa"/>
            <w:noWrap w:val="0"/>
            <w:vAlign w:val="center"/>
          </w:tcPr>
          <w:p>
            <w:pPr>
              <w:spacing w:line="240" w:lineRule="atLeast"/>
              <w:rPr>
                <w:highlight w:val="none"/>
              </w:rPr>
            </w:pPr>
          </w:p>
        </w:tc>
        <w:tc>
          <w:tcPr>
            <w:tcW w:w="1296" w:type="dxa"/>
            <w:noWrap w:val="0"/>
            <w:vAlign w:val="center"/>
          </w:tcPr>
          <w:p>
            <w:pPr>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rPr>
                <w:highlight w:val="none"/>
              </w:rPr>
            </w:pPr>
          </w:p>
        </w:tc>
        <w:tc>
          <w:tcPr>
            <w:tcW w:w="2410" w:type="dxa"/>
            <w:noWrap w:val="0"/>
            <w:vAlign w:val="center"/>
          </w:tcPr>
          <w:p>
            <w:pPr>
              <w:spacing w:line="240" w:lineRule="atLeast"/>
              <w:rPr>
                <w:highlight w:val="none"/>
              </w:rPr>
            </w:pPr>
          </w:p>
        </w:tc>
        <w:tc>
          <w:tcPr>
            <w:tcW w:w="1134" w:type="dxa"/>
            <w:noWrap w:val="0"/>
            <w:vAlign w:val="center"/>
          </w:tcPr>
          <w:p>
            <w:pPr>
              <w:spacing w:line="240" w:lineRule="atLeast"/>
              <w:rPr>
                <w:highlight w:val="none"/>
              </w:rPr>
            </w:pPr>
          </w:p>
        </w:tc>
        <w:tc>
          <w:tcPr>
            <w:tcW w:w="1417" w:type="dxa"/>
            <w:noWrap w:val="0"/>
            <w:vAlign w:val="center"/>
          </w:tcPr>
          <w:p>
            <w:pPr>
              <w:spacing w:line="240" w:lineRule="atLeast"/>
              <w:rPr>
                <w:highlight w:val="none"/>
              </w:rPr>
            </w:pPr>
          </w:p>
        </w:tc>
        <w:tc>
          <w:tcPr>
            <w:tcW w:w="1276" w:type="dxa"/>
            <w:noWrap w:val="0"/>
            <w:vAlign w:val="center"/>
          </w:tcPr>
          <w:p>
            <w:pPr>
              <w:spacing w:line="240" w:lineRule="atLeast"/>
              <w:rPr>
                <w:highlight w:val="none"/>
              </w:rPr>
            </w:pPr>
          </w:p>
        </w:tc>
        <w:tc>
          <w:tcPr>
            <w:tcW w:w="936" w:type="dxa"/>
            <w:noWrap w:val="0"/>
            <w:vAlign w:val="center"/>
          </w:tcPr>
          <w:p>
            <w:pPr>
              <w:spacing w:line="240" w:lineRule="atLeast"/>
              <w:rPr>
                <w:highlight w:val="none"/>
              </w:rPr>
            </w:pPr>
          </w:p>
        </w:tc>
        <w:tc>
          <w:tcPr>
            <w:tcW w:w="1296" w:type="dxa"/>
            <w:noWrap w:val="0"/>
            <w:vAlign w:val="center"/>
          </w:tcPr>
          <w:p>
            <w:pPr>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rPr>
                <w:highlight w:val="none"/>
              </w:rPr>
            </w:pPr>
          </w:p>
        </w:tc>
        <w:tc>
          <w:tcPr>
            <w:tcW w:w="2410" w:type="dxa"/>
            <w:noWrap w:val="0"/>
            <w:vAlign w:val="center"/>
          </w:tcPr>
          <w:p>
            <w:pPr>
              <w:spacing w:line="240" w:lineRule="atLeast"/>
              <w:rPr>
                <w:highlight w:val="none"/>
              </w:rPr>
            </w:pPr>
          </w:p>
        </w:tc>
        <w:tc>
          <w:tcPr>
            <w:tcW w:w="1134" w:type="dxa"/>
            <w:noWrap w:val="0"/>
            <w:vAlign w:val="center"/>
          </w:tcPr>
          <w:p>
            <w:pPr>
              <w:spacing w:line="240" w:lineRule="atLeast"/>
              <w:rPr>
                <w:highlight w:val="none"/>
              </w:rPr>
            </w:pPr>
          </w:p>
        </w:tc>
        <w:tc>
          <w:tcPr>
            <w:tcW w:w="1417" w:type="dxa"/>
            <w:noWrap w:val="0"/>
            <w:vAlign w:val="center"/>
          </w:tcPr>
          <w:p>
            <w:pPr>
              <w:spacing w:line="240" w:lineRule="atLeast"/>
              <w:rPr>
                <w:highlight w:val="none"/>
              </w:rPr>
            </w:pPr>
          </w:p>
        </w:tc>
        <w:tc>
          <w:tcPr>
            <w:tcW w:w="1276" w:type="dxa"/>
            <w:noWrap w:val="0"/>
            <w:vAlign w:val="center"/>
          </w:tcPr>
          <w:p>
            <w:pPr>
              <w:spacing w:line="240" w:lineRule="atLeast"/>
              <w:rPr>
                <w:highlight w:val="none"/>
              </w:rPr>
            </w:pPr>
          </w:p>
        </w:tc>
        <w:tc>
          <w:tcPr>
            <w:tcW w:w="936" w:type="dxa"/>
            <w:noWrap w:val="0"/>
            <w:vAlign w:val="center"/>
          </w:tcPr>
          <w:p>
            <w:pPr>
              <w:spacing w:line="240" w:lineRule="atLeast"/>
              <w:rPr>
                <w:highlight w:val="none"/>
              </w:rPr>
            </w:pPr>
          </w:p>
        </w:tc>
        <w:tc>
          <w:tcPr>
            <w:tcW w:w="1296" w:type="dxa"/>
            <w:noWrap w:val="0"/>
            <w:vAlign w:val="center"/>
          </w:tcPr>
          <w:p>
            <w:pPr>
              <w:spacing w:line="240" w:lineRule="atLeas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6" w:type="dxa"/>
            <w:gridSpan w:val="7"/>
            <w:noWrap w:val="0"/>
            <w:vAlign w:val="center"/>
          </w:tcPr>
          <w:p>
            <w:pPr>
              <w:spacing w:line="240" w:lineRule="atLeast"/>
              <w:rPr>
                <w:highlight w:val="none"/>
              </w:rPr>
            </w:pPr>
            <w:r>
              <w:rPr>
                <w:rFonts w:hint="eastAsia" w:ascii="仿宋" w:hAnsi="仿宋" w:eastAsia="仿宋" w:cs="仿宋"/>
                <w:kern w:val="0"/>
                <w:sz w:val="24"/>
                <w:szCs w:val="24"/>
                <w:highlight w:val="none"/>
              </w:rPr>
              <w:t>合计人民币金额（大写）：                          （小写）：            元</w:t>
            </w:r>
          </w:p>
        </w:tc>
      </w:tr>
    </w:tbl>
    <w:p>
      <w:pPr>
        <w:pStyle w:val="3"/>
        <w:suppressAutoHyphens/>
        <w:adjustRightInd w:val="0"/>
        <w:snapToGrid w:val="0"/>
        <w:spacing w:after="0" w:line="240" w:lineRule="atLeast"/>
        <w:rPr>
          <w:highlight w:val="none"/>
        </w:rPr>
      </w:pPr>
    </w:p>
    <w:p>
      <w:pPr>
        <w:pStyle w:val="3"/>
        <w:suppressAutoHyphens/>
        <w:adjustRightInd w:val="0"/>
        <w:snapToGrid w:val="0"/>
        <w:spacing w:after="0" w:line="240" w:lineRule="atLeast"/>
        <w:rPr>
          <w:rFonts w:ascii="仿宋" w:hAnsi="仿宋" w:eastAsia="仿宋" w:cs="仿宋"/>
          <w:b/>
          <w:kern w:val="0"/>
          <w:sz w:val="24"/>
          <w:highlight w:val="none"/>
        </w:rPr>
      </w:pPr>
      <w:r>
        <w:rPr>
          <w:rFonts w:hint="eastAsia" w:ascii="仿宋" w:hAnsi="仿宋" w:eastAsia="仿宋" w:cs="仿宋"/>
          <w:b/>
          <w:kern w:val="0"/>
          <w:sz w:val="24"/>
          <w:highlight w:val="none"/>
        </w:rPr>
        <w:t>第二条 合同价款：</w:t>
      </w:r>
    </w:p>
    <w:p>
      <w:pPr>
        <w:pStyle w:val="3"/>
        <w:suppressAutoHyphens/>
        <w:adjustRightInd w:val="0"/>
        <w:snapToGrid w:val="0"/>
        <w:spacing w:after="0" w:line="240" w:lineRule="atLeast"/>
        <w:ind w:firstLine="480" w:firstLineChars="200"/>
        <w:rPr>
          <w:rFonts w:ascii="仿宋" w:hAnsi="仿宋" w:eastAsia="仿宋" w:cs="仿宋"/>
          <w:sz w:val="24"/>
          <w:highlight w:val="none"/>
        </w:rPr>
      </w:pPr>
      <w:r>
        <w:rPr>
          <w:rFonts w:hint="eastAsia" w:ascii="仿宋" w:hAnsi="仿宋" w:eastAsia="仿宋" w:cs="仿宋"/>
          <w:sz w:val="24"/>
          <w:highlight w:val="none"/>
        </w:rPr>
        <w:t>合同总价款为人民币   圆整（¥   ）。本合同总价款包括供货、安装、调试、保修、售后服务及将货物运至指定地点所发生的运费、装卸费等货物伴随服务的费用和所需缴纳的一切相关税、费。</w:t>
      </w:r>
    </w:p>
    <w:p>
      <w:pPr>
        <w:pStyle w:val="3"/>
        <w:suppressAutoHyphens/>
        <w:adjustRightInd w:val="0"/>
        <w:snapToGrid w:val="0"/>
        <w:spacing w:after="0" w:line="240" w:lineRule="atLeast"/>
        <w:rPr>
          <w:rFonts w:ascii="仿宋" w:hAnsi="仿宋" w:eastAsia="仿宋" w:cs="仿宋"/>
          <w:sz w:val="24"/>
          <w:highlight w:val="none"/>
        </w:rPr>
      </w:pPr>
    </w:p>
    <w:p>
      <w:pPr>
        <w:widowControl/>
        <w:suppressAutoHyphens/>
        <w:spacing w:line="240" w:lineRule="atLeast"/>
        <w:textAlignment w:val="center"/>
        <w:rPr>
          <w:rFonts w:ascii="仿宋" w:hAnsi="仿宋" w:eastAsia="仿宋" w:cs="仿宋"/>
          <w:b/>
          <w:kern w:val="0"/>
          <w:sz w:val="24"/>
          <w:highlight w:val="none"/>
        </w:rPr>
      </w:pPr>
      <w:r>
        <w:rPr>
          <w:rFonts w:hint="eastAsia" w:ascii="仿宋" w:hAnsi="仿宋" w:eastAsia="仿宋" w:cs="仿宋"/>
          <w:b/>
          <w:kern w:val="0"/>
          <w:sz w:val="24"/>
          <w:szCs w:val="24"/>
          <w:highlight w:val="none"/>
        </w:rPr>
        <w:t>第三条 货物交付时间、方式、地点和费用：</w:t>
      </w:r>
    </w:p>
    <w:p>
      <w:pPr>
        <w:spacing w:line="240" w:lineRule="atLeas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全部货物于****年**月**日前运到哈尔滨工程大学校内指定位置并安装调试完毕，费用由卖方负担（含供货、安装、调试、培训及税金等一切费用）。</w:t>
      </w:r>
    </w:p>
    <w:p>
      <w:pPr>
        <w:widowControl/>
        <w:suppressAutoHyphens/>
        <w:spacing w:line="240" w:lineRule="atLeast"/>
        <w:textAlignment w:val="center"/>
        <w:rPr>
          <w:rFonts w:ascii="仿宋" w:hAnsi="仿宋" w:eastAsia="仿宋" w:cs="仿宋"/>
          <w:b/>
          <w:bCs/>
          <w:sz w:val="24"/>
          <w:szCs w:val="24"/>
          <w:highlight w:val="none"/>
        </w:rPr>
      </w:pPr>
    </w:p>
    <w:p>
      <w:pPr>
        <w:widowControl/>
        <w:suppressAutoHyphens/>
        <w:spacing w:line="240" w:lineRule="atLeast"/>
        <w:textAlignment w:val="center"/>
        <w:rPr>
          <w:rFonts w:ascii="仿宋" w:hAnsi="仿宋" w:eastAsia="仿宋" w:cs="仿宋"/>
          <w:b/>
          <w:bCs/>
          <w:sz w:val="24"/>
          <w:highlight w:val="none"/>
        </w:rPr>
      </w:pPr>
      <w:r>
        <w:rPr>
          <w:rFonts w:hint="eastAsia" w:ascii="仿宋" w:hAnsi="仿宋" w:eastAsia="仿宋" w:cs="仿宋"/>
          <w:b/>
          <w:bCs/>
          <w:sz w:val="24"/>
          <w:szCs w:val="24"/>
          <w:highlight w:val="none"/>
        </w:rPr>
        <w:t>第四条 质量标准：</w:t>
      </w:r>
    </w:p>
    <w:p>
      <w:pPr>
        <w:spacing w:line="240" w:lineRule="atLeas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乙方保证提供的货物皆为符合国家标准的正品合格产品，且承诺为甲方提供符合或高于国家标准及采购文件要求的服务，且若该货物在投标货物生产厂商中国总部对外公众网站上具有标准配置和服务的，乙方为甲方提供的产品及服务符合或高于其标准。</w:t>
      </w:r>
    </w:p>
    <w:p>
      <w:pPr>
        <w:spacing w:line="240" w:lineRule="atLeast"/>
        <w:rPr>
          <w:rFonts w:ascii="仿宋" w:hAnsi="仿宋" w:eastAsia="仿宋" w:cs="仿宋"/>
          <w:sz w:val="24"/>
          <w:szCs w:val="24"/>
          <w:highlight w:val="none"/>
        </w:rPr>
      </w:pPr>
    </w:p>
    <w:p>
      <w:pPr>
        <w:suppressAutoHyphens/>
        <w:snapToGrid w:val="0"/>
        <w:spacing w:line="240" w:lineRule="atLeast"/>
        <w:rPr>
          <w:rFonts w:ascii="仿宋" w:hAnsi="仿宋" w:eastAsia="仿宋" w:cs="仿宋"/>
          <w:sz w:val="24"/>
          <w:highlight w:val="none"/>
        </w:rPr>
      </w:pPr>
      <w:r>
        <w:rPr>
          <w:rFonts w:hint="eastAsia" w:ascii="仿宋" w:hAnsi="仿宋" w:eastAsia="仿宋" w:cs="仿宋"/>
          <w:b/>
          <w:kern w:val="0"/>
          <w:sz w:val="24"/>
          <w:szCs w:val="24"/>
          <w:highlight w:val="none"/>
        </w:rPr>
        <w:t>第五条 质保及维修：</w:t>
      </w:r>
    </w:p>
    <w:p>
      <w:pPr>
        <w:widowControl/>
        <w:suppressAutoHyphens/>
        <w:spacing w:line="240" w:lineRule="atLeast"/>
        <w:ind w:firstLine="480" w:firstLineChars="200"/>
        <w:textAlignment w:val="center"/>
        <w:rPr>
          <w:rFonts w:ascii="仿宋" w:hAnsi="仿宋" w:eastAsia="仿宋" w:cs="仿宋"/>
          <w:kern w:val="0"/>
          <w:sz w:val="24"/>
          <w:highlight w:val="none"/>
        </w:rPr>
      </w:pPr>
      <w:r>
        <w:rPr>
          <w:rFonts w:hint="eastAsia" w:ascii="仿宋" w:hAnsi="仿宋" w:eastAsia="仿宋" w:cs="仿宋"/>
          <w:kern w:val="0"/>
          <w:sz w:val="24"/>
          <w:szCs w:val="24"/>
          <w:highlight w:val="none"/>
        </w:rPr>
        <w:t>质保期**年（从验收合格之日算起）。质保期过后终身维修，维修只收成本费。</w:t>
      </w:r>
    </w:p>
    <w:p>
      <w:pPr>
        <w:spacing w:line="240" w:lineRule="atLeast"/>
        <w:rPr>
          <w:rFonts w:ascii="仿宋" w:hAnsi="仿宋" w:eastAsia="仿宋" w:cs="仿宋"/>
          <w:kern w:val="0"/>
          <w:sz w:val="24"/>
          <w:szCs w:val="24"/>
          <w:highlight w:val="none"/>
        </w:rPr>
      </w:pPr>
      <w:r>
        <w:rPr>
          <w:rFonts w:hint="eastAsia" w:ascii="仿宋" w:hAnsi="仿宋" w:eastAsia="仿宋" w:cs="仿宋"/>
          <w:kern w:val="0"/>
          <w:sz w:val="24"/>
          <w:szCs w:val="24"/>
          <w:highlight w:val="none"/>
        </w:rPr>
        <w:t>服务响应时间**小时。</w:t>
      </w:r>
    </w:p>
    <w:p>
      <w:pPr>
        <w:spacing w:line="240" w:lineRule="atLeast"/>
        <w:rPr>
          <w:rFonts w:ascii="仿宋" w:hAnsi="仿宋" w:eastAsia="仿宋" w:cs="仿宋"/>
          <w:kern w:val="0"/>
          <w:sz w:val="24"/>
          <w:szCs w:val="24"/>
          <w:highlight w:val="none"/>
        </w:rPr>
      </w:pPr>
    </w:p>
    <w:p>
      <w:pPr>
        <w:widowControl/>
        <w:suppressAutoHyphens/>
        <w:spacing w:before="156" w:beforeLines="50" w:line="320" w:lineRule="exact"/>
        <w:textAlignment w:val="center"/>
        <w:rPr>
          <w:rFonts w:ascii="仿宋" w:hAnsi="仿宋" w:eastAsia="仿宋" w:cs="仿宋"/>
          <w:b/>
          <w:kern w:val="0"/>
          <w:sz w:val="24"/>
          <w:highlight w:val="none"/>
        </w:rPr>
      </w:pPr>
      <w:r>
        <w:rPr>
          <w:rFonts w:ascii="仿宋" w:hAnsi="仿宋" w:eastAsia="仿宋" w:cs="仿宋"/>
          <w:b/>
          <w:kern w:val="0"/>
          <w:sz w:val="24"/>
          <w:szCs w:val="24"/>
          <w:highlight w:val="none"/>
        </w:rPr>
        <w:t>第六条</w:t>
      </w:r>
      <w:r>
        <w:rPr>
          <w:rFonts w:hint="eastAsia" w:ascii="仿宋" w:hAnsi="仿宋" w:eastAsia="仿宋" w:cs="仿宋"/>
          <w:b/>
          <w:kern w:val="0"/>
          <w:sz w:val="24"/>
          <w:szCs w:val="24"/>
          <w:highlight w:val="none"/>
        </w:rPr>
        <w:t xml:space="preserve"> 随机备品及配件的供应：</w:t>
      </w:r>
    </w:p>
    <w:p>
      <w:pPr>
        <w:spacing w:line="240" w:lineRule="atLeas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卖方按原包供应。</w:t>
      </w:r>
    </w:p>
    <w:p>
      <w:pPr>
        <w:widowControl/>
        <w:suppressAutoHyphens/>
        <w:spacing w:before="156" w:beforeLines="50" w:line="320" w:lineRule="exact"/>
        <w:textAlignment w:val="center"/>
        <w:rPr>
          <w:rFonts w:ascii="仿宋" w:hAnsi="仿宋" w:eastAsia="仿宋" w:cs="仿宋"/>
          <w:b/>
          <w:kern w:val="0"/>
          <w:sz w:val="24"/>
          <w:highlight w:val="none"/>
        </w:rPr>
      </w:pPr>
      <w:r>
        <w:rPr>
          <w:rFonts w:hint="eastAsia" w:ascii="仿宋" w:hAnsi="仿宋" w:eastAsia="仿宋" w:cs="仿宋"/>
          <w:b/>
          <w:kern w:val="0"/>
          <w:sz w:val="24"/>
          <w:szCs w:val="24"/>
          <w:highlight w:val="none"/>
        </w:rPr>
        <w:t>第七条 验收标准：</w:t>
      </w:r>
    </w:p>
    <w:p>
      <w:pPr>
        <w:spacing w:line="240" w:lineRule="atLeas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在交货地现场，当场拆包，检验所有配置是否为原厂原包，若非原厂原包，拒付货款。货物须同时完全符合下列各项标准及要求方为合格：装箱单、质量合格证书、保修证书、产品使用说明书及其它应当随箱的技术资料（包括但不限于）；报价要约中涉及质量、技术、服务、鉴定、检验及验收的全部相关内容或其所指引的内容。</w:t>
      </w:r>
    </w:p>
    <w:p>
      <w:pPr>
        <w:spacing w:line="240" w:lineRule="atLeast"/>
        <w:ind w:firstLine="480" w:firstLineChars="200"/>
        <w:rPr>
          <w:rFonts w:ascii="仿宋" w:hAnsi="仿宋" w:eastAsia="仿宋" w:cs="仿宋"/>
          <w:kern w:val="0"/>
          <w:sz w:val="24"/>
          <w:szCs w:val="24"/>
          <w:highlight w:val="none"/>
        </w:rPr>
      </w:pPr>
    </w:p>
    <w:p>
      <w:pPr>
        <w:spacing w:line="240" w:lineRule="atLeas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第八条 履约保证金：</w:t>
      </w:r>
    </w:p>
    <w:p>
      <w:pPr>
        <w:spacing w:line="240" w:lineRule="atLeas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合同签订前，乙方须向甲方交纳履约保证金，金额为合同额的**%。货物验收合格后一次性返还乙方。</w:t>
      </w:r>
    </w:p>
    <w:p>
      <w:pPr>
        <w:widowControl/>
        <w:suppressAutoHyphens/>
        <w:spacing w:before="156" w:beforeLines="50" w:line="320" w:lineRule="exact"/>
        <w:textAlignment w:val="center"/>
        <w:rPr>
          <w:rFonts w:ascii="仿宋" w:hAnsi="仿宋" w:eastAsia="仿宋" w:cs="仿宋"/>
          <w:b/>
          <w:kern w:val="0"/>
          <w:sz w:val="24"/>
          <w:highlight w:val="none"/>
        </w:rPr>
      </w:pPr>
      <w:r>
        <w:rPr>
          <w:rFonts w:hint="eastAsia" w:ascii="仿宋" w:hAnsi="仿宋" w:eastAsia="仿宋" w:cs="仿宋"/>
          <w:b/>
          <w:kern w:val="0"/>
          <w:sz w:val="24"/>
          <w:szCs w:val="24"/>
          <w:highlight w:val="none"/>
        </w:rPr>
        <w:t>第九条 付款方式：</w:t>
      </w:r>
    </w:p>
    <w:p>
      <w:pPr>
        <w:spacing w:line="240" w:lineRule="atLeas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合同签订后首付款为合同额的**%，货到现场安装调试验收合格后付款合同额的**%，留合同额的**%作为质保金，预留**个月。</w:t>
      </w:r>
    </w:p>
    <w:p>
      <w:pPr>
        <w:spacing w:line="240" w:lineRule="atLeast"/>
        <w:ind w:firstLine="480" w:firstLineChars="200"/>
        <w:rPr>
          <w:rFonts w:ascii="仿宋" w:hAnsi="仿宋" w:eastAsia="仿宋" w:cs="仿宋"/>
          <w:kern w:val="0"/>
          <w:sz w:val="24"/>
          <w:szCs w:val="24"/>
          <w:highlight w:val="none"/>
        </w:rPr>
      </w:pPr>
    </w:p>
    <w:p>
      <w:pPr>
        <w:spacing w:line="240" w:lineRule="atLeas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第十条 其它约定事项：</w:t>
      </w:r>
    </w:p>
    <w:p>
      <w:pPr>
        <w:spacing w:line="240" w:lineRule="atLeast"/>
        <w:rPr>
          <w:rFonts w:ascii="仿宋" w:hAnsi="仿宋" w:eastAsia="仿宋" w:cs="仿宋"/>
          <w:kern w:val="0"/>
          <w:sz w:val="24"/>
          <w:szCs w:val="24"/>
          <w:highlight w:val="none"/>
        </w:rPr>
      </w:pPr>
      <w:r>
        <w:rPr>
          <w:rFonts w:hint="eastAsia" w:ascii="仿宋" w:hAnsi="仿宋" w:eastAsia="仿宋" w:cs="仿宋"/>
          <w:b/>
          <w:kern w:val="0"/>
          <w:sz w:val="24"/>
          <w:szCs w:val="24"/>
          <w:highlight w:val="none"/>
        </w:rPr>
        <w:t xml:space="preserve">    </w:t>
      </w:r>
      <w:r>
        <w:rPr>
          <w:rFonts w:hint="eastAsia" w:ascii="仿宋" w:hAnsi="仿宋" w:eastAsia="仿宋" w:cs="仿宋"/>
          <w:kern w:val="0"/>
          <w:sz w:val="24"/>
          <w:szCs w:val="24"/>
          <w:highlight w:val="none"/>
        </w:rPr>
        <w:t>（1）乙方须按时履行开具发票的义务。（2）乙方免费提供技术培训。（3）乙方在运输、搬运、安装、调试（含施工）、培训过程中严格执行国家安全方面的相关规定，若发生人员伤亡事故，责任由乙方负责。（3）该系统如涉及压力仪表、安全阀等需取得质检部门出具的效验合格证明。（4）系统中如涉及压力管道、压力容器等特种设备的，需办理特种设备检验及登记手续。（5）乙方在设备安装、维修过程中如动用明火作业、布设电源线、引进易燃易爆设备等应到买方相关处室办理手续，进行审批备案。</w:t>
      </w:r>
    </w:p>
    <w:p>
      <w:pPr>
        <w:spacing w:line="240" w:lineRule="atLeast"/>
        <w:rPr>
          <w:rFonts w:ascii="仿宋" w:hAnsi="仿宋" w:eastAsia="仿宋" w:cs="仿宋"/>
          <w:b/>
          <w:kern w:val="0"/>
          <w:sz w:val="24"/>
          <w:szCs w:val="24"/>
          <w:highlight w:val="none"/>
        </w:rPr>
      </w:pPr>
    </w:p>
    <w:p>
      <w:pPr>
        <w:spacing w:line="240" w:lineRule="atLeast"/>
        <w:rPr>
          <w:rFonts w:ascii="仿宋" w:hAnsi="仿宋" w:eastAsia="仿宋" w:cs="仿宋"/>
          <w:b/>
          <w:kern w:val="0"/>
          <w:sz w:val="24"/>
          <w:szCs w:val="24"/>
          <w:highlight w:val="none"/>
        </w:rPr>
      </w:pPr>
      <w:r>
        <w:rPr>
          <w:rFonts w:hint="eastAsia" w:ascii="仿宋" w:hAnsi="仿宋" w:eastAsia="仿宋" w:cs="仿宋"/>
          <w:b/>
          <w:color w:val="000000"/>
          <w:kern w:val="0"/>
          <w:sz w:val="24"/>
          <w:szCs w:val="24"/>
          <w:highlight w:val="none"/>
        </w:rPr>
        <w:t>第十一条 违约责</w:t>
      </w:r>
      <w:r>
        <w:rPr>
          <w:rFonts w:hint="eastAsia" w:ascii="仿宋" w:hAnsi="仿宋" w:eastAsia="仿宋" w:cs="仿宋"/>
          <w:b/>
          <w:kern w:val="0"/>
          <w:sz w:val="24"/>
          <w:szCs w:val="24"/>
          <w:highlight w:val="none"/>
        </w:rPr>
        <w:t>任</w:t>
      </w:r>
    </w:p>
    <w:p>
      <w:pPr>
        <w:spacing w:line="240" w:lineRule="atLeas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迟延交货壹天，需交纳总合同额千分之一的滞纳金；（2）若所供设备与合同或响应性文件不符，需退回已付货款，同时交纳总合同额**%的违约金。（3）若货物为假冒伪劣产品，乙方应按照合同总金额的2倍向甲方支付惩罚性赔偿金，若该赔偿未达到给甲方造成损失的2倍，则乙方应当支付给甲方造成损失的2倍的惩罚性赔偿金，且并不当然免除其依法应受的其它处罚。</w:t>
      </w:r>
    </w:p>
    <w:p>
      <w:pPr>
        <w:widowControl/>
        <w:suppressAutoHyphens/>
        <w:spacing w:before="156" w:beforeLines="50" w:line="320" w:lineRule="exact"/>
        <w:textAlignment w:val="center"/>
        <w:rPr>
          <w:rFonts w:ascii="仿宋" w:hAnsi="仿宋" w:eastAsia="仿宋" w:cs="仿宋"/>
          <w:sz w:val="24"/>
          <w:highlight w:val="none"/>
        </w:rPr>
      </w:pPr>
      <w:r>
        <w:rPr>
          <w:rFonts w:hint="eastAsia" w:ascii="仿宋" w:hAnsi="仿宋" w:eastAsia="仿宋" w:cs="仿宋"/>
          <w:b/>
          <w:kern w:val="0"/>
          <w:sz w:val="24"/>
          <w:szCs w:val="24"/>
          <w:highlight w:val="none"/>
        </w:rPr>
        <w:t>第十二条 争议解决方式：</w:t>
      </w:r>
    </w:p>
    <w:p>
      <w:pPr>
        <w:spacing w:line="240" w:lineRule="atLeas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本合同在履行过程中若发生争议，由双方协商解决；协商不成，向甲方所在地人民法院提起诉讼。</w:t>
      </w:r>
    </w:p>
    <w:p>
      <w:pPr>
        <w:spacing w:line="240" w:lineRule="atLeast"/>
        <w:rPr>
          <w:rFonts w:ascii="仿宋" w:hAnsi="仿宋" w:eastAsia="仿宋" w:cs="仿宋"/>
          <w:kern w:val="0"/>
          <w:sz w:val="24"/>
          <w:szCs w:val="24"/>
          <w:highlight w:val="none"/>
        </w:rPr>
      </w:pPr>
    </w:p>
    <w:p>
      <w:pPr>
        <w:spacing w:line="240" w:lineRule="atLeast"/>
        <w:rPr>
          <w:rFonts w:ascii="仿宋" w:hAnsi="仿宋" w:eastAsia="仿宋" w:cs="仿宋"/>
          <w:sz w:val="24"/>
          <w:szCs w:val="24"/>
          <w:highlight w:val="none"/>
        </w:rPr>
      </w:pPr>
      <w:r>
        <w:rPr>
          <w:rFonts w:hint="eastAsia" w:ascii="仿宋" w:hAnsi="仿宋" w:eastAsia="仿宋" w:cs="仿宋"/>
          <w:b/>
          <w:sz w:val="24"/>
          <w:szCs w:val="24"/>
          <w:highlight w:val="none"/>
        </w:rPr>
        <w:t xml:space="preserve">第十三条 </w:t>
      </w:r>
      <w:r>
        <w:rPr>
          <w:rFonts w:hint="eastAsia" w:ascii="仿宋" w:hAnsi="仿宋" w:eastAsia="仿宋" w:cs="仿宋"/>
          <w:sz w:val="24"/>
          <w:szCs w:val="24"/>
          <w:highlight w:val="none"/>
        </w:rPr>
        <w:t>本合同一式五份，甲方持有四份，乙方持有一份，具有同等效力，经双方签字盖章后生效。</w:t>
      </w:r>
    </w:p>
    <w:p>
      <w:pPr>
        <w:spacing w:line="240" w:lineRule="atLeast"/>
        <w:rPr>
          <w:rFonts w:ascii="仿宋" w:hAnsi="仿宋" w:eastAsia="仿宋" w:cs="仿宋"/>
          <w:sz w:val="24"/>
          <w:szCs w:val="24"/>
          <w:highlight w:val="none"/>
        </w:rPr>
      </w:pPr>
    </w:p>
    <w:p>
      <w:pPr>
        <w:spacing w:line="240" w:lineRule="atLeast"/>
        <w:rPr>
          <w:rFonts w:ascii="仿宋" w:hAnsi="仿宋" w:eastAsia="仿宋" w:cs="仿宋"/>
          <w:sz w:val="24"/>
          <w:szCs w:val="24"/>
          <w:highlight w:val="none"/>
        </w:rPr>
      </w:pPr>
      <w:r>
        <w:rPr>
          <w:rFonts w:hint="eastAsia" w:ascii="仿宋" w:hAnsi="仿宋" w:eastAsia="仿宋" w:cs="仿宋"/>
          <w:b/>
          <w:sz w:val="24"/>
          <w:szCs w:val="24"/>
          <w:highlight w:val="none"/>
        </w:rPr>
        <w:t xml:space="preserve">第十四条 </w:t>
      </w:r>
      <w:r>
        <w:rPr>
          <w:rFonts w:hint="eastAsia" w:ascii="仿宋" w:hAnsi="仿宋" w:eastAsia="仿宋" w:cs="仿宋"/>
          <w:sz w:val="24"/>
          <w:szCs w:val="24"/>
          <w:highlight w:val="none"/>
        </w:rPr>
        <w:t>本合同未尽事宜，经双方协商一致后签订补充协议，补充协议是本合同的组成部分，与本合同具有同等效力。</w:t>
      </w:r>
    </w:p>
    <w:p>
      <w:pPr>
        <w:spacing w:line="240" w:lineRule="atLeast"/>
        <w:rPr>
          <w:rFonts w:ascii="仿宋" w:hAnsi="仿宋" w:eastAsia="仿宋" w:cs="仿宋"/>
          <w:sz w:val="24"/>
          <w:szCs w:val="24"/>
          <w:highlight w:val="none"/>
        </w:rPr>
      </w:pPr>
    </w:p>
    <w:p>
      <w:pPr>
        <w:spacing w:line="240" w:lineRule="atLeast"/>
        <w:rPr>
          <w:rFonts w:ascii="仿宋" w:hAnsi="仿宋" w:eastAsia="仿宋" w:cs="仿宋"/>
          <w:sz w:val="24"/>
          <w:szCs w:val="24"/>
          <w:highlight w:val="none"/>
        </w:rPr>
      </w:pPr>
    </w:p>
    <w:p>
      <w:pPr>
        <w:spacing w:line="440" w:lineRule="exact"/>
        <w:rPr>
          <w:rStyle w:val="42"/>
          <w:rFonts w:hint="default" w:ascii="仿宋" w:hAnsi="仿宋" w:eastAsia="仿宋" w:cs="仿宋"/>
          <w:sz w:val="24"/>
          <w:szCs w:val="24"/>
          <w:highlight w:val="none"/>
        </w:rPr>
      </w:pPr>
      <w:r>
        <w:rPr>
          <w:rFonts w:hint="eastAsia" w:ascii="仿宋" w:hAnsi="仿宋" w:eastAsia="仿宋" w:cs="仿宋"/>
          <w:b/>
          <w:kern w:val="0"/>
          <w:sz w:val="24"/>
          <w:szCs w:val="24"/>
          <w:highlight w:val="none"/>
        </w:rPr>
        <w:t>甲方：哈尔滨工程大学（章）                       乙方：**********</w:t>
      </w:r>
      <w:r>
        <w:rPr>
          <w:rFonts w:hint="eastAsia" w:ascii="仿宋" w:hAnsi="仿宋" w:eastAsia="仿宋" w:cs="楷体_GB2312"/>
          <w:b/>
          <w:bCs/>
          <w:kern w:val="0"/>
          <w:sz w:val="24"/>
          <w:highlight w:val="none"/>
        </w:rPr>
        <w:t>******</w:t>
      </w:r>
      <w:r>
        <w:rPr>
          <w:rStyle w:val="42"/>
          <w:rFonts w:hint="default" w:ascii="仿宋" w:hAnsi="仿宋" w:eastAsia="仿宋" w:cs="仿宋"/>
          <w:sz w:val="24"/>
          <w:szCs w:val="24"/>
          <w:highlight w:val="none"/>
        </w:rPr>
        <w:t>(章）</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开户行：</w:t>
      </w:r>
      <w:r>
        <w:rPr>
          <w:rFonts w:hint="eastAsia" w:ascii="仿宋" w:hAnsi="仿宋" w:eastAsia="仿宋" w:cs="仿宋"/>
          <w:kern w:val="0"/>
          <w:sz w:val="24"/>
          <w:szCs w:val="24"/>
          <w:highlight w:val="none"/>
        </w:rPr>
        <w:t xml:space="preserve">中国工商银行股份有限公司哈尔滨宣桥支行   </w:t>
      </w:r>
      <w:r>
        <w:rPr>
          <w:rFonts w:hint="eastAsia" w:ascii="仿宋" w:hAnsi="仿宋" w:eastAsia="仿宋" w:cs="仿宋"/>
          <w:b/>
          <w:kern w:val="0"/>
          <w:sz w:val="24"/>
          <w:szCs w:val="24"/>
          <w:highlight w:val="none"/>
        </w:rPr>
        <w:t>开户行：********</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帐号：</w:t>
      </w:r>
      <w:r>
        <w:rPr>
          <w:rFonts w:hint="eastAsia" w:ascii="仿宋" w:hAnsi="仿宋" w:eastAsia="仿宋" w:cs="仿宋"/>
          <w:kern w:val="0"/>
          <w:sz w:val="24"/>
          <w:szCs w:val="24"/>
          <w:highlight w:val="none"/>
        </w:rPr>
        <w:t xml:space="preserve">3500040709008802226                        </w:t>
      </w:r>
      <w:r>
        <w:rPr>
          <w:rFonts w:hint="eastAsia" w:ascii="仿宋" w:hAnsi="仿宋" w:eastAsia="仿宋" w:cs="仿宋"/>
          <w:b/>
          <w:kern w:val="0"/>
          <w:sz w:val="24"/>
          <w:szCs w:val="24"/>
          <w:highlight w:val="none"/>
        </w:rPr>
        <w:t>帐号：********</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税号：</w:t>
      </w:r>
      <w:r>
        <w:rPr>
          <w:rFonts w:hint="eastAsia" w:ascii="仿宋" w:hAnsi="仿宋" w:eastAsia="仿宋" w:cs="仿宋"/>
          <w:kern w:val="0"/>
          <w:sz w:val="24"/>
          <w:szCs w:val="24"/>
          <w:highlight w:val="none"/>
        </w:rPr>
        <w:t xml:space="preserve">12100000424006211L                         </w:t>
      </w:r>
      <w:r>
        <w:rPr>
          <w:rFonts w:hint="eastAsia" w:ascii="仿宋" w:hAnsi="仿宋" w:eastAsia="仿宋" w:cs="仿宋"/>
          <w:b/>
          <w:kern w:val="0"/>
          <w:sz w:val="24"/>
          <w:szCs w:val="24"/>
          <w:highlight w:val="none"/>
        </w:rPr>
        <w:t>税号：</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法定代表人（委托代理人）：                       法定代表人：                   </w:t>
      </w:r>
    </w:p>
    <w:p>
      <w:pPr>
        <w:spacing w:line="32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项目负责人：                                     委托代理人：</w:t>
      </w:r>
    </w:p>
    <w:p>
      <w:pPr>
        <w:spacing w:line="440" w:lineRule="exact"/>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                  </w:t>
      </w:r>
      <w:r>
        <w:rPr>
          <w:rFonts w:hint="eastAsia" w:ascii="仿宋" w:hAnsi="仿宋" w:eastAsia="仿宋" w:cs="仿宋"/>
          <w:kern w:val="0"/>
          <w:sz w:val="24"/>
          <w:szCs w:val="24"/>
          <w:highlight w:val="none"/>
        </w:rPr>
        <w:t xml:space="preserve">年  月  日 </w:t>
      </w:r>
      <w:r>
        <w:rPr>
          <w:rFonts w:hint="eastAsia" w:ascii="仿宋" w:hAnsi="仿宋" w:eastAsia="仿宋" w:cs="仿宋"/>
          <w:b/>
          <w:kern w:val="0"/>
          <w:sz w:val="24"/>
          <w:szCs w:val="24"/>
          <w:highlight w:val="none"/>
        </w:rPr>
        <w:t xml:space="preserve">                     </w:t>
      </w:r>
      <w:r>
        <w:rPr>
          <w:rFonts w:hint="eastAsia" w:ascii="仿宋" w:hAnsi="仿宋" w:eastAsia="仿宋" w:cs="仿宋"/>
          <w:kern w:val="0"/>
          <w:sz w:val="24"/>
          <w:szCs w:val="24"/>
          <w:highlight w:val="none"/>
        </w:rPr>
        <w:t>年  月  日</w:t>
      </w:r>
    </w:p>
    <w:p>
      <w:pPr>
        <w:jc w:val="center"/>
        <w:rPr>
          <w:rFonts w:hint="eastAsia" w:ascii="黑体" w:hAnsi="黑体" w:eastAsia="黑体"/>
          <w:b/>
          <w:position w:val="16"/>
          <w:sz w:val="36"/>
          <w:szCs w:val="36"/>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snapToGrid w:val="0"/>
        <w:spacing w:line="360" w:lineRule="auto"/>
        <w:ind w:left="450"/>
        <w:jc w:val="center"/>
        <w:outlineLvl w:val="9"/>
        <w:rPr>
          <w:rFonts w:hint="eastAsia" w:ascii="黑体" w:hAnsi="黑体" w:eastAsia="黑体" w:cs="黑体"/>
          <w:b/>
          <w:bCs/>
          <w:sz w:val="36"/>
          <w:szCs w:val="36"/>
          <w:highlight w:val="none"/>
        </w:rPr>
      </w:pPr>
      <w:bookmarkStart w:id="60" w:name="_Toc13827"/>
    </w:p>
    <w:p>
      <w:pPr>
        <w:pStyle w:val="2"/>
        <w:rPr>
          <w:rFonts w:hint="eastAsia" w:ascii="黑体" w:hAnsi="黑体" w:eastAsia="黑体" w:cs="黑体"/>
          <w:b/>
          <w:bCs/>
          <w:sz w:val="36"/>
          <w:szCs w:val="36"/>
          <w:highlight w:val="none"/>
        </w:rPr>
      </w:pPr>
    </w:p>
    <w:p>
      <w:pPr>
        <w:pStyle w:val="2"/>
        <w:rPr>
          <w:rFonts w:hint="eastAsia" w:ascii="黑体" w:hAnsi="黑体" w:eastAsia="黑体" w:cs="黑体"/>
          <w:b/>
          <w:bCs/>
          <w:sz w:val="36"/>
          <w:szCs w:val="36"/>
          <w:highlight w:val="none"/>
        </w:rPr>
      </w:pPr>
    </w:p>
    <w:p>
      <w:pPr>
        <w:pStyle w:val="2"/>
        <w:rPr>
          <w:rFonts w:hint="eastAsia" w:ascii="黑体" w:hAnsi="黑体" w:eastAsia="黑体" w:cs="黑体"/>
          <w:b/>
          <w:bCs/>
          <w:sz w:val="36"/>
          <w:szCs w:val="36"/>
          <w:highlight w:val="none"/>
        </w:rPr>
      </w:pPr>
    </w:p>
    <w:p>
      <w:pPr>
        <w:pStyle w:val="2"/>
        <w:rPr>
          <w:rFonts w:hint="eastAsia" w:ascii="黑体" w:hAnsi="黑体" w:eastAsia="黑体" w:cs="黑体"/>
          <w:b/>
          <w:bCs/>
          <w:sz w:val="36"/>
          <w:szCs w:val="36"/>
          <w:highlight w:val="none"/>
        </w:rPr>
      </w:pPr>
    </w:p>
    <w:p>
      <w:pPr>
        <w:pStyle w:val="2"/>
        <w:rPr>
          <w:rFonts w:hint="eastAsia" w:ascii="黑体" w:hAnsi="黑体" w:eastAsia="黑体" w:cs="黑体"/>
          <w:b/>
          <w:bCs/>
          <w:sz w:val="36"/>
          <w:szCs w:val="36"/>
          <w:highlight w:val="none"/>
        </w:rPr>
      </w:pPr>
    </w:p>
    <w:p>
      <w:pPr>
        <w:snapToGrid w:val="0"/>
        <w:spacing w:line="360" w:lineRule="auto"/>
        <w:ind w:left="450"/>
        <w:jc w:val="center"/>
        <w:outlineLvl w:val="0"/>
        <w:rPr>
          <w:rFonts w:hint="eastAsia" w:ascii="黑体" w:hAnsi="黑体" w:eastAsia="黑体" w:cs="黑体"/>
          <w:b/>
          <w:bCs/>
          <w:sz w:val="36"/>
          <w:szCs w:val="36"/>
          <w:highlight w:val="none"/>
        </w:rPr>
      </w:pPr>
      <w:bookmarkStart w:id="61" w:name="_Toc30303"/>
      <w:r>
        <w:rPr>
          <w:rFonts w:hint="eastAsia" w:ascii="黑体" w:hAnsi="黑体" w:eastAsia="黑体" w:cs="黑体"/>
          <w:b/>
          <w:bCs/>
          <w:sz w:val="36"/>
          <w:szCs w:val="36"/>
          <w:highlight w:val="none"/>
        </w:rPr>
        <w:t>第五部分  响应文件格式及附件</w:t>
      </w:r>
      <w:bookmarkEnd w:id="60"/>
      <w:bookmarkEnd w:id="61"/>
    </w:p>
    <w:p>
      <w:pPr>
        <w:snapToGrid w:val="0"/>
        <w:spacing w:line="360" w:lineRule="auto"/>
        <w:ind w:firstLine="523" w:firstLineChars="218"/>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《响应文件格式》是参加磋商活动供应商的部分响应文件格式，请参照这些格式编制响应文件。</w:t>
      </w:r>
    </w:p>
    <w:p>
      <w:pPr>
        <w:widowControl/>
        <w:jc w:val="center"/>
        <w:rPr>
          <w:rFonts w:hint="eastAsia" w:ascii="宋体" w:hAnsi="宋体" w:eastAsia="宋体" w:cs="宋体"/>
          <w:b/>
          <w:bCs/>
          <w:sz w:val="30"/>
          <w:szCs w:val="30"/>
          <w:highlight w:val="none"/>
        </w:rPr>
      </w:pPr>
      <w:r>
        <w:rPr>
          <w:rFonts w:hint="eastAsia" w:ascii="黑体" w:hAnsi="黑体" w:eastAsia="黑体" w:cs="黑体"/>
          <w:b/>
          <w:bCs/>
          <w:sz w:val="30"/>
          <w:szCs w:val="30"/>
          <w:highlight w:val="none"/>
        </w:rPr>
        <w:br w:type="page"/>
      </w:r>
    </w:p>
    <w:p>
      <w:pPr>
        <w:widowControl/>
        <w:jc w:val="center"/>
        <w:rPr>
          <w:rFonts w:eastAsia="黑体"/>
          <w:sz w:val="24"/>
          <w:highlight w:val="none"/>
        </w:rPr>
      </w:pPr>
      <w:r>
        <w:rPr>
          <w:rStyle w:val="22"/>
          <w:rFonts w:hint="eastAsia"/>
          <w:highlight w:val="none"/>
        </w:rPr>
        <w:t>1、响应文件封面格式</w:t>
      </w:r>
    </w:p>
    <w:p>
      <w:pPr>
        <w:widowControl/>
        <w:jc w:val="center"/>
        <w:rPr>
          <w:rFonts w:eastAsia="黑体"/>
          <w:sz w:val="36"/>
          <w:szCs w:val="36"/>
          <w:highlight w:val="none"/>
        </w:rPr>
      </w:pPr>
    </w:p>
    <w:p>
      <w:pPr>
        <w:widowControl/>
        <w:jc w:val="center"/>
        <w:rPr>
          <w:rFonts w:eastAsia="黑体"/>
          <w:b/>
          <w:sz w:val="84"/>
          <w:szCs w:val="84"/>
          <w:highlight w:val="none"/>
        </w:rPr>
      </w:pPr>
      <w:r>
        <w:rPr>
          <w:rFonts w:hint="eastAsia" w:eastAsia="黑体"/>
          <w:b/>
          <w:sz w:val="84"/>
          <w:szCs w:val="84"/>
          <w:highlight w:val="none"/>
        </w:rPr>
        <w:t>政 府 采 购</w:t>
      </w:r>
    </w:p>
    <w:p>
      <w:pPr>
        <w:widowControl/>
        <w:jc w:val="center"/>
        <w:rPr>
          <w:rFonts w:eastAsia="黑体"/>
          <w:b/>
          <w:sz w:val="84"/>
          <w:szCs w:val="84"/>
          <w:highlight w:val="none"/>
        </w:rPr>
      </w:pPr>
      <w:r>
        <w:rPr>
          <w:rFonts w:hint="eastAsia" w:eastAsia="黑体"/>
          <w:b/>
          <w:sz w:val="84"/>
          <w:szCs w:val="84"/>
          <w:highlight w:val="none"/>
        </w:rPr>
        <w:t>响 应 文 件</w:t>
      </w:r>
    </w:p>
    <w:p>
      <w:pPr>
        <w:widowControl/>
        <w:jc w:val="center"/>
        <w:rPr>
          <w:rFonts w:eastAsia="黑体"/>
          <w:sz w:val="36"/>
          <w:szCs w:val="36"/>
          <w:highlight w:val="none"/>
        </w:rPr>
      </w:pPr>
    </w:p>
    <w:p>
      <w:pPr>
        <w:widowControl/>
        <w:ind w:firstLine="2560" w:firstLineChars="850"/>
        <w:rPr>
          <w:rFonts w:hint="eastAsia" w:eastAsia="黑体"/>
          <w:b/>
          <w:sz w:val="30"/>
          <w:szCs w:val="30"/>
          <w:highlight w:val="none"/>
          <w:lang w:eastAsia="zh-CN"/>
        </w:rPr>
      </w:pPr>
      <w:r>
        <w:rPr>
          <w:rFonts w:hint="eastAsia" w:eastAsia="黑体"/>
          <w:b/>
          <w:sz w:val="30"/>
          <w:szCs w:val="30"/>
          <w:highlight w:val="none"/>
        </w:rPr>
        <w:t xml:space="preserve">项目名称：        </w:t>
      </w:r>
    </w:p>
    <w:p>
      <w:pPr>
        <w:widowControl/>
        <w:ind w:firstLine="2560" w:firstLineChars="850"/>
        <w:rPr>
          <w:rFonts w:eastAsia="黑体"/>
          <w:b/>
          <w:sz w:val="30"/>
          <w:szCs w:val="30"/>
          <w:highlight w:val="none"/>
        </w:rPr>
      </w:pPr>
      <w:r>
        <w:rPr>
          <w:rFonts w:hint="eastAsia" w:eastAsia="黑体"/>
          <w:b/>
          <w:sz w:val="30"/>
          <w:szCs w:val="30"/>
          <w:highlight w:val="none"/>
        </w:rPr>
        <w:t xml:space="preserve">项目编号：  </w:t>
      </w: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jc w:val="center"/>
        <w:rPr>
          <w:rFonts w:eastAsia="黑体"/>
          <w:sz w:val="36"/>
          <w:szCs w:val="36"/>
          <w:highlight w:val="none"/>
        </w:rPr>
      </w:pPr>
    </w:p>
    <w:p>
      <w:pPr>
        <w:widowControl/>
        <w:spacing w:line="480" w:lineRule="auto"/>
        <w:ind w:firstLine="361" w:firstLineChars="150"/>
        <w:rPr>
          <w:rFonts w:eastAsia="黑体"/>
          <w:b/>
          <w:sz w:val="24"/>
          <w:highlight w:val="none"/>
        </w:rPr>
      </w:pPr>
      <w:r>
        <w:rPr>
          <w:rFonts w:hint="eastAsia" w:eastAsia="黑体"/>
          <w:b/>
          <w:sz w:val="24"/>
          <w:highlight w:val="none"/>
        </w:rPr>
        <w:t>报价单位：（公章）</w:t>
      </w:r>
    </w:p>
    <w:p>
      <w:pPr>
        <w:widowControl/>
        <w:spacing w:line="480" w:lineRule="auto"/>
        <w:ind w:firstLine="361" w:firstLineChars="150"/>
        <w:rPr>
          <w:rFonts w:eastAsia="黑体"/>
          <w:b/>
          <w:sz w:val="24"/>
          <w:highlight w:val="none"/>
        </w:rPr>
      </w:pPr>
      <w:r>
        <w:rPr>
          <w:rFonts w:hint="eastAsia" w:eastAsia="黑体"/>
          <w:b/>
          <w:sz w:val="24"/>
          <w:highlight w:val="none"/>
        </w:rPr>
        <w:t>法定代表人或</w:t>
      </w:r>
      <w:r>
        <w:rPr>
          <w:rFonts w:hint="eastAsia" w:ascii="黑体" w:hAnsi="黑体" w:eastAsia="黑体" w:cs="黑体"/>
          <w:b/>
          <w:sz w:val="24"/>
          <w:highlight w:val="none"/>
        </w:rPr>
        <w:t>授</w:t>
      </w:r>
      <w:r>
        <w:rPr>
          <w:rFonts w:hint="eastAsia" w:eastAsia="黑体"/>
          <w:b/>
          <w:sz w:val="24"/>
          <w:highlight w:val="none"/>
        </w:rPr>
        <w:t xml:space="preserve">权代表：                 </w:t>
      </w:r>
    </w:p>
    <w:p>
      <w:pPr>
        <w:widowControl/>
        <w:spacing w:line="480" w:lineRule="auto"/>
        <w:ind w:firstLine="361" w:firstLineChars="150"/>
        <w:rPr>
          <w:rFonts w:eastAsia="黑体"/>
          <w:b/>
          <w:sz w:val="24"/>
          <w:highlight w:val="none"/>
        </w:rPr>
      </w:pPr>
      <w:r>
        <w:rPr>
          <w:rFonts w:hint="eastAsia" w:eastAsia="黑体"/>
          <w:b/>
          <w:sz w:val="24"/>
          <w:highlight w:val="none"/>
        </w:rPr>
        <w:t>电    话：</w:t>
      </w:r>
    </w:p>
    <w:p>
      <w:pPr>
        <w:widowControl/>
        <w:spacing w:line="480" w:lineRule="auto"/>
        <w:ind w:firstLine="361" w:firstLineChars="150"/>
        <w:rPr>
          <w:rFonts w:eastAsia="黑体"/>
          <w:b/>
          <w:sz w:val="24"/>
          <w:highlight w:val="none"/>
        </w:rPr>
      </w:pPr>
      <w:r>
        <w:rPr>
          <w:rFonts w:hint="eastAsia" w:eastAsia="黑体"/>
          <w:b/>
          <w:sz w:val="24"/>
          <w:highlight w:val="none"/>
        </w:rPr>
        <w:t>磋商日期：</w:t>
      </w:r>
    </w:p>
    <w:p>
      <w:pPr>
        <w:snapToGrid w:val="0"/>
        <w:spacing w:line="360" w:lineRule="auto"/>
        <w:ind w:left="450"/>
        <w:jc w:val="center"/>
        <w:rPr>
          <w:rFonts w:eastAsia="黑体"/>
          <w:sz w:val="36"/>
          <w:szCs w:val="36"/>
          <w:highlight w:val="none"/>
        </w:rPr>
      </w:pPr>
    </w:p>
    <w:p>
      <w:pPr>
        <w:widowControl/>
        <w:spacing w:line="480" w:lineRule="auto"/>
        <w:ind w:firstLine="316" w:firstLineChars="150"/>
        <w:rPr>
          <w:rFonts w:hint="eastAsia" w:ascii="宋体" w:hAnsi="宋体" w:eastAsia="宋体" w:cs="宋体"/>
          <w:b/>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snapToGrid w:val="0"/>
        <w:spacing w:line="360" w:lineRule="auto"/>
        <w:ind w:left="450"/>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2、报  价  书</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(代理机构名称)</w:t>
      </w:r>
    </w:p>
    <w:p>
      <w:pPr>
        <w:snapToGrid w:val="0"/>
        <w:spacing w:line="48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根据贵方为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)竞争性磋商采购的磋商邀请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(采购编号</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经正式授权并代表供应商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(供应商名称、地址</w:t>
      </w:r>
      <w:r>
        <w:rPr>
          <w:rFonts w:hint="eastAsia" w:ascii="宋体" w:hAnsi="宋体" w:eastAsia="宋体" w:cs="宋体"/>
          <w:sz w:val="21"/>
          <w:szCs w:val="21"/>
          <w:highlight w:val="none"/>
        </w:rPr>
        <w:t>)提交下述文件正本一份及副本四份:</w:t>
      </w:r>
    </w:p>
    <w:p>
      <w:pPr>
        <w:snapToGrid w:val="0"/>
        <w:spacing w:line="480" w:lineRule="auto"/>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snapToGrid w:val="0"/>
        <w:spacing w:line="480" w:lineRule="auto"/>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供应商将按竞争性磋商文件的规定履行合同责任和义务。</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 供应商已详细审查全部竞争性磋商文件，我方愿</w:t>
      </w:r>
      <w:r>
        <w:rPr>
          <w:rFonts w:hint="eastAsia" w:ascii="宋体" w:hAnsi="宋体" w:eastAsia="宋体" w:cs="宋体"/>
          <w:sz w:val="21"/>
          <w:szCs w:val="21"/>
          <w:highlight w:val="none"/>
          <w:u w:val="single"/>
        </w:rPr>
        <w:t xml:space="preserve">（ 大写：      元；小写：      元，合同履行期限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snapToGrid w:val="0"/>
        <w:spacing w:line="480" w:lineRule="auto"/>
        <w:ind w:firstLine="840"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 本次采购有效期为自磋商日起</w:t>
      </w:r>
      <w:r>
        <w:rPr>
          <w:rFonts w:hint="eastAsia" w:ascii="宋体" w:hAnsi="宋体" w:eastAsia="宋体" w:cs="宋体"/>
          <w:sz w:val="21"/>
          <w:szCs w:val="21"/>
          <w:highlight w:val="none"/>
          <w:u w:val="single"/>
          <w:lang w:val="en-US" w:eastAsia="zh-CN"/>
        </w:rPr>
        <w:t>120</w:t>
      </w:r>
      <w:r>
        <w:rPr>
          <w:rFonts w:hint="eastAsia" w:ascii="宋体" w:hAnsi="宋体" w:eastAsia="宋体" w:cs="宋体"/>
          <w:sz w:val="21"/>
          <w:szCs w:val="21"/>
          <w:highlight w:val="none"/>
        </w:rPr>
        <w:t>个日历日。</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4. 如果在规定的磋商时间后，供应商在采购有效期内撤回响应文件，其磋商保证金将被贵方没收。</w:t>
      </w:r>
      <w:bookmarkStart w:id="74" w:name="_GoBack"/>
      <w:bookmarkEnd w:id="74"/>
    </w:p>
    <w:p>
      <w:pPr>
        <w:snapToGrid w:val="0"/>
        <w:spacing w:line="480" w:lineRule="auto"/>
        <w:ind w:firstLine="840"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 供应商同意提供按照贵方可能要求的与其磋商有关的一切数据或资料。</w:t>
      </w:r>
    </w:p>
    <w:p>
      <w:pPr>
        <w:snapToGrid w:val="0"/>
        <w:spacing w:line="480" w:lineRule="auto"/>
        <w:ind w:firstLine="840"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 与本磋商有关的一切正式往来信函请寄:</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840" w:firstLineChars="4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传  真</w:t>
      </w:r>
      <w:r>
        <w:rPr>
          <w:rFonts w:hint="eastAsia" w:ascii="宋体" w:hAnsi="宋体" w:eastAsia="宋体" w:cs="宋体"/>
          <w:sz w:val="21"/>
          <w:szCs w:val="21"/>
          <w:highlight w:val="none"/>
          <w:lang w:eastAsia="zh-CN"/>
        </w:rPr>
        <w:t>：</w:t>
      </w:r>
    </w:p>
    <w:p>
      <w:pPr>
        <w:snapToGrid w:val="0"/>
        <w:spacing w:line="480" w:lineRule="auto"/>
        <w:ind w:firstLine="840" w:firstLineChars="4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电子函件</w:t>
      </w:r>
      <w:r>
        <w:rPr>
          <w:rFonts w:hint="eastAsia" w:ascii="宋体" w:hAnsi="宋体" w:eastAsia="宋体" w:cs="宋体"/>
          <w:sz w:val="21"/>
          <w:szCs w:val="21"/>
          <w:highlight w:val="none"/>
          <w:lang w:eastAsia="zh-CN"/>
        </w:rPr>
        <w:t>：</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供应商代表签字：                             </w:t>
      </w: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napToGrid w:val="0"/>
        <w:spacing w:line="48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rPr>
        <w:br w:type="page"/>
      </w:r>
      <w:r>
        <w:rPr>
          <w:rFonts w:hint="eastAsia" w:ascii="宋体" w:hAnsi="宋体" w:eastAsia="宋体" w:cs="宋体"/>
          <w:b/>
          <w:bCs/>
          <w:sz w:val="36"/>
          <w:szCs w:val="36"/>
          <w:highlight w:val="none"/>
        </w:rPr>
        <w:t>3、初始报价一览表</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513"/>
        <w:gridCol w:w="2078"/>
        <w:gridCol w:w="2285"/>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63"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840"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154"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货物报价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1269"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货物市场</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971"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63" w:type="pct"/>
          </w:tcPr>
          <w:p>
            <w:pPr>
              <w:snapToGrid w:val="0"/>
              <w:spacing w:line="360" w:lineRule="auto"/>
              <w:jc w:val="center"/>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bl>
    <w:p>
      <w:pPr>
        <w:snapToGrid w:val="0"/>
        <w:spacing w:line="360" w:lineRule="auto"/>
        <w:jc w:val="left"/>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p>
    <w:p>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4、详细配置明细表</w:t>
      </w:r>
    </w:p>
    <w:p>
      <w:pPr>
        <w:snapToGrid w:val="0"/>
        <w:jc w:val="center"/>
        <w:rPr>
          <w:rFonts w:hint="eastAsia" w:ascii="宋体" w:hAnsi="宋体" w:eastAsia="宋体" w:cs="宋体"/>
          <w:sz w:val="24"/>
          <w:szCs w:val="24"/>
          <w:highlight w:val="none"/>
        </w:rPr>
      </w:pP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296"/>
        <w:gridCol w:w="3034"/>
        <w:gridCol w:w="763"/>
        <w:gridCol w:w="766"/>
        <w:gridCol w:w="1156"/>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 号</w:t>
            </w:r>
          </w:p>
        </w:tc>
        <w:tc>
          <w:tcPr>
            <w:tcW w:w="702"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643" w:type="pct"/>
            <w:vAlign w:val="center"/>
          </w:tcPr>
          <w:p>
            <w:pPr>
              <w:snapToGrid w:val="0"/>
              <w:spacing w:line="360" w:lineRule="auto"/>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主要技术参数和要求</w:t>
            </w:r>
          </w:p>
        </w:tc>
        <w:tc>
          <w:tcPr>
            <w:tcW w:w="413"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品牌型号产地</w:t>
            </w:r>
          </w:p>
        </w:tc>
        <w:tc>
          <w:tcPr>
            <w:tcW w:w="415"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626" w:type="pct"/>
            <w:vAlign w:val="center"/>
          </w:tcPr>
          <w:p>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单价</w:t>
            </w:r>
          </w:p>
        </w:tc>
        <w:tc>
          <w:tcPr>
            <w:tcW w:w="676" w:type="pct"/>
            <w:vAlign w:val="center"/>
          </w:tcPr>
          <w:p>
            <w:pPr>
              <w:snapToGrid w:val="0"/>
              <w:ind w:firstLine="240" w:firstLineChars="1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p>
        </w:tc>
        <w:tc>
          <w:tcPr>
            <w:tcW w:w="702" w:type="pct"/>
          </w:tcPr>
          <w:p>
            <w:pPr>
              <w:snapToGrid w:val="0"/>
              <w:spacing w:line="360" w:lineRule="auto"/>
              <w:jc w:val="distribute"/>
              <w:rPr>
                <w:rFonts w:hint="eastAsia" w:ascii="宋体" w:hAnsi="宋体" w:eastAsia="宋体" w:cs="宋体"/>
                <w:sz w:val="24"/>
                <w:szCs w:val="24"/>
                <w:highlight w:val="none"/>
              </w:rPr>
            </w:pPr>
          </w:p>
        </w:tc>
        <w:tc>
          <w:tcPr>
            <w:tcW w:w="1643" w:type="pct"/>
          </w:tcPr>
          <w:p>
            <w:pPr>
              <w:snapToGrid w:val="0"/>
              <w:spacing w:line="360" w:lineRule="auto"/>
              <w:rPr>
                <w:rFonts w:hint="eastAsia" w:ascii="宋体" w:hAnsi="宋体" w:eastAsia="宋体" w:cs="宋体"/>
                <w:sz w:val="24"/>
                <w:szCs w:val="24"/>
                <w:highlight w:val="none"/>
              </w:rPr>
            </w:pPr>
          </w:p>
        </w:tc>
        <w:tc>
          <w:tcPr>
            <w:tcW w:w="413" w:type="pct"/>
          </w:tcPr>
          <w:p>
            <w:pPr>
              <w:snapToGrid w:val="0"/>
              <w:spacing w:line="360" w:lineRule="auto"/>
              <w:jc w:val="center"/>
              <w:rPr>
                <w:rFonts w:hint="eastAsia" w:ascii="宋体" w:hAnsi="宋体" w:eastAsia="宋体" w:cs="宋体"/>
                <w:sz w:val="24"/>
                <w:szCs w:val="24"/>
                <w:highlight w:val="none"/>
              </w:rPr>
            </w:pPr>
          </w:p>
        </w:tc>
        <w:tc>
          <w:tcPr>
            <w:tcW w:w="415" w:type="pct"/>
          </w:tcPr>
          <w:p>
            <w:pPr>
              <w:snapToGrid w:val="0"/>
              <w:spacing w:line="360" w:lineRule="auto"/>
              <w:jc w:val="center"/>
              <w:rPr>
                <w:rFonts w:hint="eastAsia" w:ascii="宋体" w:hAnsi="宋体" w:eastAsia="宋体" w:cs="宋体"/>
                <w:sz w:val="24"/>
                <w:szCs w:val="24"/>
                <w:highlight w:val="none"/>
              </w:rPr>
            </w:pPr>
          </w:p>
        </w:tc>
        <w:tc>
          <w:tcPr>
            <w:tcW w:w="626" w:type="pct"/>
            <w:vAlign w:val="center"/>
          </w:tcPr>
          <w:p>
            <w:pPr>
              <w:snapToGrid w:val="0"/>
              <w:spacing w:line="360" w:lineRule="auto"/>
              <w:jc w:val="center"/>
              <w:rPr>
                <w:rFonts w:hint="eastAsia" w:ascii="宋体" w:hAnsi="宋体" w:eastAsia="宋体" w:cs="宋体"/>
                <w:sz w:val="24"/>
                <w:szCs w:val="24"/>
                <w:highlight w:val="none"/>
              </w:rPr>
            </w:pPr>
          </w:p>
        </w:tc>
        <w:tc>
          <w:tcPr>
            <w:tcW w:w="676" w:type="pct"/>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p>
        </w:tc>
        <w:tc>
          <w:tcPr>
            <w:tcW w:w="702" w:type="pct"/>
          </w:tcPr>
          <w:p>
            <w:pPr>
              <w:snapToGrid w:val="0"/>
              <w:spacing w:line="360" w:lineRule="auto"/>
              <w:jc w:val="distribute"/>
              <w:rPr>
                <w:rFonts w:hint="eastAsia" w:ascii="宋体" w:hAnsi="宋体" w:eastAsia="宋体" w:cs="宋体"/>
                <w:sz w:val="24"/>
                <w:szCs w:val="24"/>
                <w:highlight w:val="none"/>
              </w:rPr>
            </w:pPr>
          </w:p>
        </w:tc>
        <w:tc>
          <w:tcPr>
            <w:tcW w:w="1643" w:type="pct"/>
          </w:tcPr>
          <w:p>
            <w:pPr>
              <w:snapToGrid w:val="0"/>
              <w:spacing w:line="360" w:lineRule="auto"/>
              <w:rPr>
                <w:rFonts w:hint="eastAsia" w:ascii="宋体" w:hAnsi="宋体" w:eastAsia="宋体" w:cs="宋体"/>
                <w:sz w:val="24"/>
                <w:szCs w:val="24"/>
                <w:highlight w:val="none"/>
              </w:rPr>
            </w:pPr>
          </w:p>
        </w:tc>
        <w:tc>
          <w:tcPr>
            <w:tcW w:w="413" w:type="pct"/>
          </w:tcPr>
          <w:p>
            <w:pPr>
              <w:snapToGrid w:val="0"/>
              <w:spacing w:line="360" w:lineRule="auto"/>
              <w:jc w:val="center"/>
              <w:rPr>
                <w:rFonts w:hint="eastAsia" w:ascii="宋体" w:hAnsi="宋体" w:eastAsia="宋体" w:cs="宋体"/>
                <w:sz w:val="24"/>
                <w:szCs w:val="24"/>
                <w:highlight w:val="none"/>
              </w:rPr>
            </w:pPr>
          </w:p>
        </w:tc>
        <w:tc>
          <w:tcPr>
            <w:tcW w:w="415" w:type="pct"/>
          </w:tcPr>
          <w:p>
            <w:pPr>
              <w:snapToGrid w:val="0"/>
              <w:spacing w:line="360" w:lineRule="auto"/>
              <w:jc w:val="center"/>
              <w:rPr>
                <w:rFonts w:hint="eastAsia" w:ascii="宋体" w:hAnsi="宋体" w:eastAsia="宋体" w:cs="宋体"/>
                <w:sz w:val="24"/>
                <w:szCs w:val="24"/>
                <w:highlight w:val="none"/>
              </w:rPr>
            </w:pPr>
          </w:p>
        </w:tc>
        <w:tc>
          <w:tcPr>
            <w:tcW w:w="626" w:type="pct"/>
            <w:vAlign w:val="center"/>
          </w:tcPr>
          <w:p>
            <w:pPr>
              <w:snapToGrid w:val="0"/>
              <w:spacing w:line="360" w:lineRule="auto"/>
              <w:jc w:val="center"/>
              <w:rPr>
                <w:rFonts w:hint="eastAsia" w:ascii="宋体" w:hAnsi="宋体" w:eastAsia="宋体" w:cs="宋体"/>
                <w:sz w:val="24"/>
                <w:szCs w:val="24"/>
                <w:highlight w:val="none"/>
              </w:rPr>
            </w:pPr>
          </w:p>
        </w:tc>
        <w:tc>
          <w:tcPr>
            <w:tcW w:w="676" w:type="pct"/>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4477" w:type="pct"/>
            <w:gridSpan w:val="6"/>
          </w:tcPr>
          <w:p>
            <w:pPr>
              <w:snapToGrid w:val="0"/>
              <w:spacing w:line="360" w:lineRule="auto"/>
              <w:ind w:left="450"/>
              <w:rPr>
                <w:rFonts w:hint="eastAsia" w:ascii="宋体" w:hAnsi="宋体" w:eastAsia="宋体" w:cs="宋体"/>
                <w:sz w:val="24"/>
                <w:szCs w:val="24"/>
                <w:highlight w:val="none"/>
              </w:rPr>
            </w:pPr>
          </w:p>
        </w:tc>
      </w:tr>
    </w:tbl>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480" w:lineRule="auto"/>
        <w:ind w:left="450"/>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5、技术偏离表</w:t>
      </w:r>
    </w:p>
    <w:p>
      <w:pPr>
        <w:snapToGrid w:val="0"/>
        <w:spacing w:line="360" w:lineRule="auto"/>
        <w:ind w:firstLine="314"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314"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359"/>
        <w:gridCol w:w="864"/>
        <w:gridCol w:w="1977"/>
        <w:gridCol w:w="274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81"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55"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480"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1098" w:type="pct"/>
            <w:vAlign w:val="center"/>
          </w:tcPr>
          <w:p>
            <w:pPr>
              <w:snapToGrid w:val="0"/>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磋商文件的</w:t>
            </w:r>
          </w:p>
          <w:p>
            <w:pPr>
              <w:snapToGrid w:val="0"/>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参数和要求</w:t>
            </w:r>
          </w:p>
        </w:tc>
        <w:tc>
          <w:tcPr>
            <w:tcW w:w="1524"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响应文件参数</w:t>
            </w:r>
          </w:p>
        </w:tc>
        <w:tc>
          <w:tcPr>
            <w:tcW w:w="759"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  离</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hint="eastAsia" w:ascii="宋体" w:hAnsi="宋体" w:eastAsia="宋体" w:cs="宋体"/>
                <w:sz w:val="24"/>
                <w:szCs w:val="24"/>
                <w:highlight w:val="none"/>
              </w:rPr>
            </w:pPr>
          </w:p>
        </w:tc>
        <w:tc>
          <w:tcPr>
            <w:tcW w:w="755" w:type="pct"/>
            <w:vAlign w:val="center"/>
          </w:tcPr>
          <w:p>
            <w:pPr>
              <w:snapToGrid w:val="0"/>
              <w:jc w:val="center"/>
              <w:rPr>
                <w:rFonts w:hint="eastAsia" w:ascii="宋体" w:hAnsi="宋体" w:eastAsia="宋体" w:cs="宋体"/>
                <w:sz w:val="24"/>
                <w:szCs w:val="24"/>
                <w:highlight w:val="none"/>
              </w:rPr>
            </w:pPr>
          </w:p>
        </w:tc>
        <w:tc>
          <w:tcPr>
            <w:tcW w:w="480" w:type="pct"/>
            <w:vAlign w:val="center"/>
          </w:tcPr>
          <w:p>
            <w:pPr>
              <w:snapToGrid w:val="0"/>
              <w:jc w:val="center"/>
              <w:rPr>
                <w:rFonts w:hint="eastAsia" w:ascii="宋体" w:hAnsi="宋体" w:eastAsia="宋体" w:cs="宋体"/>
                <w:sz w:val="24"/>
                <w:szCs w:val="24"/>
                <w:highlight w:val="none"/>
              </w:rPr>
            </w:pPr>
          </w:p>
        </w:tc>
        <w:tc>
          <w:tcPr>
            <w:tcW w:w="1098" w:type="pct"/>
            <w:vAlign w:val="center"/>
          </w:tcPr>
          <w:p>
            <w:pPr>
              <w:snapToGrid w:val="0"/>
              <w:jc w:val="center"/>
              <w:rPr>
                <w:rFonts w:hint="eastAsia" w:ascii="宋体" w:hAnsi="宋体" w:eastAsia="宋体" w:cs="宋体"/>
                <w:sz w:val="24"/>
                <w:szCs w:val="24"/>
                <w:highlight w:val="none"/>
              </w:rPr>
            </w:pPr>
          </w:p>
        </w:tc>
        <w:tc>
          <w:tcPr>
            <w:tcW w:w="1524" w:type="pct"/>
            <w:vAlign w:val="center"/>
          </w:tcPr>
          <w:p>
            <w:pPr>
              <w:snapToGrid w:val="0"/>
              <w:jc w:val="center"/>
              <w:rPr>
                <w:rFonts w:hint="eastAsia" w:ascii="宋体" w:hAnsi="宋体" w:eastAsia="宋体" w:cs="宋体"/>
                <w:sz w:val="24"/>
                <w:szCs w:val="24"/>
                <w:highlight w:val="none"/>
              </w:rPr>
            </w:pPr>
          </w:p>
        </w:tc>
        <w:tc>
          <w:tcPr>
            <w:tcW w:w="759" w:type="pct"/>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hint="eastAsia" w:ascii="宋体" w:hAnsi="宋体" w:eastAsia="宋体" w:cs="宋体"/>
                <w:sz w:val="24"/>
                <w:szCs w:val="24"/>
                <w:highlight w:val="none"/>
              </w:rPr>
            </w:pPr>
          </w:p>
        </w:tc>
        <w:tc>
          <w:tcPr>
            <w:tcW w:w="755" w:type="pct"/>
            <w:vAlign w:val="center"/>
          </w:tcPr>
          <w:p>
            <w:pPr>
              <w:snapToGrid w:val="0"/>
              <w:jc w:val="center"/>
              <w:rPr>
                <w:rFonts w:hint="eastAsia" w:ascii="宋体" w:hAnsi="宋体" w:eastAsia="宋体" w:cs="宋体"/>
                <w:sz w:val="24"/>
                <w:szCs w:val="24"/>
                <w:highlight w:val="none"/>
              </w:rPr>
            </w:pPr>
          </w:p>
        </w:tc>
        <w:tc>
          <w:tcPr>
            <w:tcW w:w="480" w:type="pct"/>
            <w:vAlign w:val="center"/>
          </w:tcPr>
          <w:p>
            <w:pPr>
              <w:snapToGrid w:val="0"/>
              <w:jc w:val="center"/>
              <w:rPr>
                <w:rFonts w:hint="eastAsia" w:ascii="宋体" w:hAnsi="宋体" w:eastAsia="宋体" w:cs="宋体"/>
                <w:sz w:val="24"/>
                <w:szCs w:val="24"/>
                <w:highlight w:val="none"/>
              </w:rPr>
            </w:pPr>
          </w:p>
        </w:tc>
        <w:tc>
          <w:tcPr>
            <w:tcW w:w="1098" w:type="pct"/>
            <w:vAlign w:val="center"/>
          </w:tcPr>
          <w:p>
            <w:pPr>
              <w:snapToGrid w:val="0"/>
              <w:jc w:val="center"/>
              <w:rPr>
                <w:rFonts w:hint="eastAsia" w:ascii="宋体" w:hAnsi="宋体" w:eastAsia="宋体" w:cs="宋体"/>
                <w:sz w:val="24"/>
                <w:szCs w:val="24"/>
                <w:highlight w:val="none"/>
              </w:rPr>
            </w:pPr>
          </w:p>
        </w:tc>
        <w:tc>
          <w:tcPr>
            <w:tcW w:w="1524" w:type="pct"/>
            <w:vAlign w:val="center"/>
          </w:tcPr>
          <w:p>
            <w:pPr>
              <w:snapToGrid w:val="0"/>
              <w:jc w:val="center"/>
              <w:rPr>
                <w:rFonts w:hint="eastAsia" w:ascii="宋体" w:hAnsi="宋体" w:eastAsia="宋体" w:cs="宋体"/>
                <w:sz w:val="24"/>
                <w:szCs w:val="24"/>
                <w:highlight w:val="none"/>
              </w:rPr>
            </w:pPr>
          </w:p>
        </w:tc>
        <w:tc>
          <w:tcPr>
            <w:tcW w:w="759" w:type="pct"/>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hint="eastAsia" w:ascii="宋体" w:hAnsi="宋体" w:eastAsia="宋体" w:cs="宋体"/>
                <w:sz w:val="24"/>
                <w:szCs w:val="24"/>
                <w:highlight w:val="none"/>
              </w:rPr>
            </w:pPr>
          </w:p>
        </w:tc>
        <w:tc>
          <w:tcPr>
            <w:tcW w:w="755" w:type="pct"/>
            <w:vAlign w:val="center"/>
          </w:tcPr>
          <w:p>
            <w:pPr>
              <w:snapToGrid w:val="0"/>
              <w:jc w:val="center"/>
              <w:rPr>
                <w:rFonts w:hint="eastAsia" w:ascii="宋体" w:hAnsi="宋体" w:eastAsia="宋体" w:cs="宋体"/>
                <w:sz w:val="24"/>
                <w:szCs w:val="24"/>
                <w:highlight w:val="none"/>
              </w:rPr>
            </w:pPr>
          </w:p>
        </w:tc>
        <w:tc>
          <w:tcPr>
            <w:tcW w:w="480" w:type="pct"/>
            <w:vAlign w:val="center"/>
          </w:tcPr>
          <w:p>
            <w:pPr>
              <w:snapToGrid w:val="0"/>
              <w:jc w:val="center"/>
              <w:rPr>
                <w:rFonts w:hint="eastAsia" w:ascii="宋体" w:hAnsi="宋体" w:eastAsia="宋体" w:cs="宋体"/>
                <w:sz w:val="24"/>
                <w:szCs w:val="24"/>
                <w:highlight w:val="none"/>
              </w:rPr>
            </w:pPr>
          </w:p>
        </w:tc>
        <w:tc>
          <w:tcPr>
            <w:tcW w:w="1098" w:type="pct"/>
            <w:vAlign w:val="center"/>
          </w:tcPr>
          <w:p>
            <w:pPr>
              <w:snapToGrid w:val="0"/>
              <w:jc w:val="center"/>
              <w:rPr>
                <w:rFonts w:hint="eastAsia" w:ascii="宋体" w:hAnsi="宋体" w:eastAsia="宋体" w:cs="宋体"/>
                <w:sz w:val="24"/>
                <w:szCs w:val="24"/>
                <w:highlight w:val="none"/>
              </w:rPr>
            </w:pPr>
          </w:p>
        </w:tc>
        <w:tc>
          <w:tcPr>
            <w:tcW w:w="1524" w:type="pct"/>
            <w:vAlign w:val="center"/>
          </w:tcPr>
          <w:p>
            <w:pPr>
              <w:snapToGrid w:val="0"/>
              <w:jc w:val="center"/>
              <w:rPr>
                <w:rFonts w:hint="eastAsia" w:ascii="宋体" w:hAnsi="宋体" w:eastAsia="宋体" w:cs="宋体"/>
                <w:sz w:val="24"/>
                <w:szCs w:val="24"/>
                <w:highlight w:val="none"/>
              </w:rPr>
            </w:pPr>
          </w:p>
        </w:tc>
        <w:tc>
          <w:tcPr>
            <w:tcW w:w="759" w:type="pct"/>
            <w:vAlign w:val="center"/>
          </w:tcPr>
          <w:p>
            <w:pPr>
              <w:snapToGrid w:val="0"/>
              <w:ind w:left="450"/>
              <w:jc w:val="center"/>
              <w:rPr>
                <w:rFonts w:hint="eastAsia" w:ascii="宋体" w:hAnsi="宋体" w:eastAsia="宋体" w:cs="宋体"/>
                <w:sz w:val="24"/>
                <w:szCs w:val="24"/>
                <w:highlight w:val="none"/>
              </w:rPr>
            </w:pPr>
          </w:p>
        </w:tc>
      </w:tr>
    </w:tbl>
    <w:p>
      <w:pPr>
        <w:snapToGrid w:val="0"/>
        <w:spacing w:line="360" w:lineRule="auto"/>
        <w:rPr>
          <w:rFonts w:hint="eastAsia" w:ascii="宋体" w:hAnsi="宋体" w:eastAsia="宋体" w:cs="宋体"/>
          <w:sz w:val="24"/>
          <w:szCs w:val="24"/>
          <w:highlight w:val="none"/>
        </w:rPr>
      </w:pPr>
    </w:p>
    <w:p>
      <w:pPr>
        <w:tabs>
          <w:tab w:val="left" w:pos="659"/>
        </w:tabs>
        <w:bidi w:val="0"/>
        <w:jc w:val="left"/>
        <w:rPr>
          <w:rFonts w:hint="eastAsia"/>
          <w:highlight w:val="none"/>
          <w:lang w:val="en-US" w:eastAsia="zh-CN"/>
        </w:rPr>
      </w:pPr>
    </w:p>
    <w:p>
      <w:pPr>
        <w:bidi w:val="0"/>
        <w:rPr>
          <w:rFonts w:hint="eastAsia" w:asciiTheme="minorHAnsi" w:hAnsiTheme="minorHAnsi" w:eastAsiaTheme="minorEastAsia" w:cstheme="minorBidi"/>
          <w:kern w:val="2"/>
          <w:sz w:val="21"/>
          <w:szCs w:val="22"/>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219"/>
        </w:tabs>
        <w:bidi w:val="0"/>
        <w:jc w:val="left"/>
        <w:rPr>
          <w:rFonts w:hint="eastAsia" w:eastAsia="宋体"/>
          <w:highlight w:val="none"/>
          <w:lang w:val="en-US" w:eastAsia="zh-CN"/>
        </w:rPr>
        <w:sectPr>
          <w:footerReference r:id="rId10" w:type="default"/>
          <w:pgSz w:w="11906" w:h="16838"/>
          <w:pgMar w:top="1418" w:right="1418" w:bottom="1418" w:left="1418" w:header="851" w:footer="851" w:gutter="284"/>
          <w:pgNumType w:fmt="decimal"/>
          <w:cols w:space="720" w:num="1"/>
          <w:docGrid w:linePitch="312" w:charSpace="0"/>
        </w:sectPr>
      </w:pPr>
      <w:r>
        <w:rPr>
          <w:rFonts w:hint="eastAsia"/>
          <w:highlight w:val="none"/>
          <w:lang w:val="en-US" w:eastAsia="zh-CN"/>
        </w:rPr>
        <w:tab/>
      </w:r>
      <w:r>
        <w:rPr>
          <w:rFonts w:hint="eastAsia" w:ascii="宋体" w:hAnsi="宋体" w:eastAsia="宋体" w:cs="宋体"/>
          <w:sz w:val="24"/>
          <w:szCs w:val="24"/>
          <w:highlight w:val="none"/>
        </w:rPr>
        <w:t>供应商全称</w:t>
      </w:r>
      <w:r>
        <w:rPr>
          <w:rFonts w:hint="eastAsia" w:ascii="宋体" w:hAnsi="宋体" w:eastAsia="宋体" w:cs="宋体"/>
          <w:sz w:val="24"/>
          <w:szCs w:val="24"/>
          <w:highlight w:val="none"/>
          <w:lang w:eastAsia="zh-CN"/>
        </w:rPr>
        <w:t>：</w:t>
      </w:r>
    </w:p>
    <w:p>
      <w:pPr>
        <w:snapToGrid w:val="0"/>
        <w:spacing w:line="360" w:lineRule="auto"/>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6、技术服务和售后服务的内容及措施</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7、法定代表人授权书</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（报价供应商全称）法定代表人</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（授权代表姓名）为全权代表，参加贵处组织的</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项目（项目编号）磋商活动，全权处理本活动中的一切事宜。</w:t>
      </w:r>
    </w:p>
    <w:p>
      <w:pPr>
        <w:snapToGrid w:val="0"/>
        <w:spacing w:line="360" w:lineRule="auto"/>
        <w:ind w:firstLine="600"/>
        <w:rPr>
          <w:rFonts w:hint="eastAsia" w:ascii="宋体" w:hAnsi="宋体" w:eastAsia="宋体" w:cs="宋体"/>
          <w:sz w:val="24"/>
          <w:szCs w:val="24"/>
          <w:highlight w:val="none"/>
        </w:rPr>
      </w:pP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pacing w:val="38"/>
          <w:sz w:val="24"/>
          <w:szCs w:val="24"/>
          <w:highlight w:val="none"/>
        </w:rPr>
        <w:t>法定代表人签字</w:t>
      </w:r>
      <w:r>
        <w:rPr>
          <w:rFonts w:hint="eastAsia" w:ascii="宋体" w:hAnsi="宋体" w:eastAsia="宋体" w:cs="宋体"/>
          <w:sz w:val="24"/>
          <w:szCs w:val="24"/>
          <w:highlight w:val="none"/>
        </w:rPr>
        <w:t>：</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供应商全称（公章）：</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 授权代表姓名：                   授权代表（签字）：</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详细通讯地址：</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邮</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政</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编</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码：</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电话（手机）：</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widowControl/>
        <w:spacing w:before="312" w:beforeLines="100" w:line="360" w:lineRule="auto"/>
        <w:rPr>
          <w:rFonts w:hint="eastAsia" w:ascii="宋体" w:hAnsi="宋体" w:eastAsia="宋体" w:cs="宋体"/>
          <w:sz w:val="21"/>
          <w:szCs w:val="21"/>
          <w:highlight w:val="none"/>
        </w:rPr>
      </w:pPr>
    </w:p>
    <w:p>
      <w:pPr>
        <w:widowControl/>
        <w:spacing w:before="312" w:beforeLines="100" w:line="360" w:lineRule="auto"/>
        <w:jc w:val="both"/>
        <w:rPr>
          <w:rStyle w:val="22"/>
          <w:rFonts w:hint="eastAsia" w:ascii="宋体" w:hAnsi="宋体" w:eastAsia="宋体" w:cs="宋体"/>
          <w:color w:val="000000"/>
          <w:kern w:val="0"/>
          <w:sz w:val="28"/>
          <w:szCs w:val="28"/>
          <w:highlight w:val="none"/>
        </w:rPr>
      </w:pPr>
    </w:p>
    <w:p>
      <w:pPr>
        <w:widowControl/>
        <w:spacing w:before="312" w:beforeLines="100" w:line="360" w:lineRule="auto"/>
        <w:jc w:val="center"/>
        <w:rPr>
          <w:rStyle w:val="22"/>
          <w:rFonts w:hint="eastAsia" w:ascii="黑体" w:hAnsi="黑体" w:eastAsia="黑体" w:cs="黑体"/>
          <w:color w:val="000000"/>
          <w:kern w:val="0"/>
          <w:sz w:val="36"/>
          <w:szCs w:val="36"/>
          <w:highlight w:val="none"/>
        </w:rPr>
      </w:pPr>
      <w:r>
        <w:rPr>
          <w:rStyle w:val="22"/>
          <w:rFonts w:hint="eastAsia" w:ascii="黑体" w:hAnsi="黑体" w:eastAsia="黑体" w:cs="黑体"/>
          <w:color w:val="000000"/>
          <w:kern w:val="0"/>
          <w:sz w:val="36"/>
          <w:szCs w:val="36"/>
          <w:highlight w:val="none"/>
        </w:rPr>
        <w:t>8、法定代表人和授权代表身份证明</w:t>
      </w: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center"/>
        <w:rPr>
          <w:rFonts w:hint="eastAsia" w:ascii="宋体" w:hAnsi="宋体" w:eastAsia="宋体" w:cs="宋体"/>
          <w:sz w:val="21"/>
          <w:szCs w:val="21"/>
          <w:highlight w:val="none"/>
        </w:rPr>
      </w:pPr>
    </w:p>
    <w:p>
      <w:pPr>
        <w:pStyle w:val="17"/>
        <w:spacing w:line="432" w:lineRule="auto"/>
        <w:jc w:val="both"/>
        <w:rPr>
          <w:rStyle w:val="22"/>
          <w:rFonts w:hint="eastAsia" w:ascii="宋体" w:hAnsi="宋体" w:eastAsia="宋体" w:cs="宋体"/>
          <w:sz w:val="21"/>
          <w:szCs w:val="21"/>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Fonts w:hint="eastAsia" w:ascii="黑体" w:hAnsi="黑体" w:eastAsia="黑体" w:cs="黑体"/>
          <w:b/>
          <w:bCs/>
          <w:sz w:val="36"/>
          <w:szCs w:val="36"/>
          <w:highlight w:val="none"/>
        </w:rPr>
      </w:pPr>
      <w:r>
        <w:rPr>
          <w:rStyle w:val="22"/>
          <w:rFonts w:hint="eastAsia" w:ascii="黑体" w:hAnsi="黑体" w:eastAsia="黑体" w:cs="黑体"/>
          <w:b/>
          <w:bCs/>
          <w:sz w:val="36"/>
          <w:szCs w:val="36"/>
          <w:highlight w:val="none"/>
        </w:rPr>
        <w:t>9、小微企业声明函</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本公司郑重声明，根据《政府采购促进中小企业发展暂行办法》（财库〔2011〕181号）的规定，本公司为______（请填写：小型、微型）企业。即，本公司同时满足以下条件：</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1.根据《工业和信息化部、国家统计局、国家发展和改革委员会、财政部关于印发中小企业划型标准规定的通知》（工信部联企业〔2011〕300号）规定的划分标准，本公司属于______行业的______（请填写：小型、微型）企业。</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2.本公司参加______单位的______项目采购活动提供本企业制造的货物，由本企业承担工程、提供服务，或者提供其他______（请填写：小型、微型）企业制造的货物。本条所称货物不包括使用大中型企业注册商标的货物。</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p>
    <w:p>
      <w:pPr>
        <w:spacing w:line="360" w:lineRule="auto"/>
        <w:ind w:firstLine="420"/>
        <w:rPr>
          <w:rFonts w:hint="eastAsia" w:ascii="宋体" w:hAnsi="宋体" w:eastAsia="宋体" w:cs="宋体"/>
          <w:sz w:val="24"/>
          <w:szCs w:val="24"/>
          <w:highlight w:val="none"/>
        </w:rPr>
      </w:pP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360" w:lineRule="auto"/>
        <w:ind w:firstLine="420"/>
        <w:rPr>
          <w:rFonts w:hint="eastAsia" w:ascii="宋体" w:hAnsi="宋体" w:eastAsia="宋体" w:cs="宋体"/>
          <w:sz w:val="21"/>
          <w:szCs w:val="21"/>
          <w:highlight w:val="none"/>
        </w:rPr>
      </w:pPr>
    </w:p>
    <w:p>
      <w:pPr>
        <w:spacing w:line="360" w:lineRule="auto"/>
        <w:ind w:firstLine="420"/>
        <w:rPr>
          <w:rFonts w:hint="eastAsia" w:ascii="宋体" w:hAnsi="宋体" w:eastAsia="宋体" w:cs="宋体"/>
          <w:sz w:val="21"/>
          <w:szCs w:val="21"/>
          <w:highlight w:val="none"/>
        </w:rPr>
      </w:pPr>
    </w:p>
    <w:p>
      <w:pPr>
        <w:snapToGrid w:val="0"/>
        <w:spacing w:line="360" w:lineRule="auto"/>
        <w:jc w:val="center"/>
        <w:rPr>
          <w:rStyle w:val="22"/>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rPr>
        <w:t>10.</w:t>
      </w:r>
      <w:bookmarkStart w:id="62" w:name="OLE_LINK13"/>
      <w:bookmarkStart w:id="63" w:name="OLE_LINK14"/>
      <w:r>
        <w:rPr>
          <w:rStyle w:val="22"/>
          <w:rFonts w:hint="eastAsia" w:ascii="黑体" w:hAnsi="黑体" w:eastAsia="黑体" w:cs="黑体"/>
          <w:sz w:val="36"/>
          <w:szCs w:val="36"/>
          <w:highlight w:val="none"/>
        </w:rPr>
        <w:t>残疾人福利性单位声明函</w:t>
      </w:r>
    </w:p>
    <w:bookmarkEnd w:id="62"/>
    <w:bookmarkEnd w:id="63"/>
    <w:p>
      <w:pPr>
        <w:spacing w:line="588" w:lineRule="exact"/>
        <w:rPr>
          <w:rFonts w:ascii="仿宋_GB2312" w:eastAsia="仿宋_GB2312"/>
          <w:b/>
          <w:spacing w:val="6"/>
          <w:sz w:val="30"/>
          <w:szCs w:val="30"/>
          <w:highlight w:val="none"/>
        </w:rPr>
      </w:pPr>
    </w:p>
    <w:p>
      <w:pPr>
        <w:widowControl/>
        <w:spacing w:before="100" w:beforeAutospacing="1" w:after="100" w:afterAutospacing="1" w:line="432" w:lineRule="auto"/>
        <w:ind w:firstLine="450"/>
        <w:jc w:val="left"/>
        <w:rPr>
          <w:rFonts w:hint="eastAsia" w:ascii="宋体"/>
          <w:color w:val="000000"/>
          <w:sz w:val="24"/>
          <w:highlight w:val="none"/>
        </w:rPr>
      </w:pPr>
      <w:r>
        <w:rPr>
          <w:rFonts w:hint="eastAsia" w:ascii="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（采购单位名称）</w:t>
      </w:r>
      <w:r>
        <w:rPr>
          <w:rFonts w:hint="eastAsia" w:ascii="宋体"/>
          <w:color w:val="000000"/>
          <w:sz w:val="24"/>
          <w:highlight w:val="none"/>
        </w:rPr>
        <w:t>单位的</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（采购项目名称）</w:t>
      </w:r>
      <w:r>
        <w:rPr>
          <w:rFonts w:hint="eastAsia" w:ascii="宋体"/>
          <w:color w:val="000000"/>
          <w:sz w:val="24"/>
          <w:highlight w:val="none"/>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32" w:lineRule="auto"/>
        <w:ind w:firstLine="450"/>
        <w:jc w:val="left"/>
        <w:rPr>
          <w:rFonts w:hint="eastAsia" w:ascii="宋体"/>
          <w:color w:val="000000"/>
          <w:sz w:val="24"/>
          <w:highlight w:val="none"/>
        </w:rPr>
      </w:pPr>
      <w:r>
        <w:rPr>
          <w:rFonts w:hint="eastAsia" w:ascii="宋体"/>
          <w:color w:val="000000"/>
          <w:sz w:val="24"/>
          <w:highlight w:val="none"/>
        </w:rPr>
        <w:t>本单位对上述声明的真实性负责。如有虚假，将依法承担相应责任。</w:t>
      </w:r>
    </w:p>
    <w:p>
      <w:pPr>
        <w:widowControl/>
        <w:spacing w:before="100" w:beforeAutospacing="1" w:after="100" w:afterAutospacing="1" w:line="432" w:lineRule="auto"/>
        <w:ind w:firstLine="450"/>
        <w:jc w:val="left"/>
        <w:rPr>
          <w:rFonts w:hint="eastAsia" w:ascii="宋体"/>
          <w:color w:val="000000"/>
          <w:sz w:val="24"/>
          <w:highlight w:val="none"/>
        </w:rPr>
      </w:pPr>
    </w:p>
    <w:p>
      <w:pPr>
        <w:widowControl/>
        <w:spacing w:before="100" w:beforeAutospacing="1" w:after="100" w:afterAutospacing="1" w:line="432" w:lineRule="auto"/>
        <w:ind w:firstLine="450"/>
        <w:jc w:val="left"/>
        <w:rPr>
          <w:rFonts w:hint="eastAsia" w:ascii="宋体"/>
          <w:color w:val="000000"/>
          <w:sz w:val="24"/>
          <w:highlight w:val="none"/>
        </w:rPr>
      </w:pPr>
    </w:p>
    <w:p>
      <w:pPr>
        <w:widowControl/>
        <w:spacing w:before="100" w:beforeAutospacing="1" w:after="100" w:afterAutospacing="1" w:line="432" w:lineRule="auto"/>
        <w:ind w:firstLine="484" w:firstLineChars="200"/>
        <w:jc w:val="left"/>
        <w:rPr>
          <w:rFonts w:hint="eastAsia" w:ascii="宋体"/>
          <w:color w:val="000000"/>
          <w:sz w:val="24"/>
          <w:highlight w:val="none"/>
        </w:rPr>
      </w:pPr>
      <w:r>
        <w:rPr>
          <w:rFonts w:hint="eastAsia" w:ascii="宋体" w:hAnsi="宋体" w:eastAsia="宋体" w:cs="宋体"/>
          <w:sz w:val="24"/>
          <w:szCs w:val="24"/>
          <w:highlight w:val="none"/>
        </w:rPr>
        <w:t>供应商</w:t>
      </w:r>
      <w:r>
        <w:rPr>
          <w:rFonts w:hint="eastAsia" w:ascii="宋体"/>
          <w:color w:val="000000"/>
          <w:sz w:val="24"/>
          <w:highlight w:val="none"/>
        </w:rPr>
        <w:t>名称（盖章）：</w:t>
      </w:r>
    </w:p>
    <w:p>
      <w:pPr>
        <w:widowControl/>
        <w:spacing w:before="100" w:beforeAutospacing="1" w:after="100" w:afterAutospacing="1" w:line="432" w:lineRule="auto"/>
        <w:ind w:firstLine="450"/>
        <w:jc w:val="left"/>
        <w:rPr>
          <w:rFonts w:hint="eastAsia" w:ascii="宋体"/>
          <w:sz w:val="24"/>
          <w:highlight w:val="none"/>
        </w:rPr>
      </w:pPr>
      <w:r>
        <w:rPr>
          <w:rFonts w:hint="eastAsia" w:ascii="宋体"/>
          <w:color w:val="000000"/>
          <w:sz w:val="24"/>
          <w:highlight w:val="none"/>
        </w:rPr>
        <w:t>日  期：</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wordWrap/>
        <w:jc w:val="center"/>
        <w:rPr>
          <w:rStyle w:val="22"/>
          <w:rFonts w:hint="eastAsia" w:ascii="宋体" w:hAnsi="宋体" w:eastAsia="宋体" w:cs="宋体"/>
          <w:b/>
          <w:bCs/>
          <w:sz w:val="28"/>
          <w:szCs w:val="28"/>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both"/>
        <w:rPr>
          <w:rStyle w:val="22"/>
          <w:rFonts w:hint="eastAsia" w:ascii="黑体" w:hAnsi="黑体" w:eastAsia="黑体" w:cs="黑体"/>
          <w:b/>
          <w:bCs/>
          <w:sz w:val="30"/>
          <w:szCs w:val="30"/>
          <w:highlight w:val="none"/>
          <w:lang w:val="en-US" w:eastAsia="zh-CN"/>
        </w:rPr>
      </w:pPr>
    </w:p>
    <w:p>
      <w:pPr>
        <w:pStyle w:val="2"/>
        <w:rPr>
          <w:rFonts w:hint="eastAsia"/>
          <w:highlight w:val="none"/>
          <w:lang w:val="en-US" w:eastAsia="zh-CN"/>
        </w:rPr>
      </w:pPr>
    </w:p>
    <w:p>
      <w:pPr>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lang w:val="en-US" w:eastAsia="zh-CN"/>
        </w:rPr>
        <w:t>11.</w:t>
      </w:r>
      <w:r>
        <w:rPr>
          <w:rStyle w:val="22"/>
          <w:rFonts w:hint="eastAsia" w:ascii="黑体" w:hAnsi="黑体" w:eastAsia="黑体" w:cs="黑体"/>
          <w:sz w:val="36"/>
          <w:szCs w:val="36"/>
          <w:highlight w:val="none"/>
        </w:rPr>
        <w:t>没有重大违法记录的声明</w:t>
      </w:r>
    </w:p>
    <w:p>
      <w:pPr>
        <w:wordWrap/>
        <w:jc w:val="left"/>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我方声明在参加政府采购活动前3年内在经营活动中没有重大违法记录（重大违法记录是指供应商因违法经营收到刑事处罚或者责令停产停业、吊销许可证或者执照、较大数额罚款等行政处罚。）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名称（盖公章）：</w:t>
      </w:r>
    </w:p>
    <w:p>
      <w:pPr>
        <w:ind w:left="483" w:leftChars="228" w:firstLine="7986" w:firstLineChars="3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ind w:left="483" w:leftChars="228" w:firstLine="7986" w:firstLineChars="3300"/>
        <w:jc w:val="left"/>
        <w:rPr>
          <w:rFonts w:hint="eastAsia" w:ascii="宋体" w:hAnsi="宋体" w:eastAsia="宋体" w:cs="宋体"/>
          <w:sz w:val="24"/>
          <w:szCs w:val="24"/>
          <w:highlight w:val="none"/>
          <w:lang w:val="en-US" w:eastAsia="zh-CN"/>
        </w:rPr>
      </w:pPr>
    </w:p>
    <w:p>
      <w:pPr>
        <w:ind w:left="483" w:leftChars="228" w:firstLine="7986" w:firstLineChars="3300"/>
        <w:jc w:val="left"/>
        <w:rPr>
          <w:rFonts w:hint="eastAsia" w:ascii="宋体" w:hAnsi="宋体" w:eastAsia="宋体" w:cs="宋体"/>
          <w:sz w:val="24"/>
          <w:szCs w:val="24"/>
          <w:highlight w:val="none"/>
          <w:lang w:val="en-US" w:eastAsia="zh-CN"/>
        </w:rPr>
      </w:pPr>
    </w:p>
    <w:p>
      <w:pPr>
        <w:ind w:firstLine="5082" w:firstLineChars="2100"/>
        <w:jc w:val="left"/>
        <w:rPr>
          <w:rFonts w:ascii="黑体" w:hAnsi="黑体" w:eastAsia="黑体" w:cs="黑体"/>
          <w:b/>
          <w:kern w:val="44"/>
          <w:sz w:val="36"/>
          <w:szCs w:val="36"/>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    月    日</w:t>
      </w:r>
      <w:bookmarkStart w:id="64" w:name="_Toc478828309"/>
      <w:bookmarkStart w:id="65" w:name="_Toc16205"/>
    </w:p>
    <w:p>
      <w:pPr>
        <w:keepNext/>
        <w:keepLines/>
        <w:widowControl/>
        <w:tabs>
          <w:tab w:val="left" w:pos="720"/>
        </w:tabs>
        <w:spacing w:before="120" w:after="120" w:line="360" w:lineRule="auto"/>
        <w:jc w:val="center"/>
        <w:outlineLvl w:val="9"/>
        <w:rPr>
          <w:rFonts w:ascii="黑体" w:hAnsi="黑体" w:eastAsia="黑体" w:cs="黑体"/>
          <w:b/>
          <w:kern w:val="44"/>
          <w:sz w:val="36"/>
          <w:szCs w:val="36"/>
          <w:highlight w:val="none"/>
        </w:rPr>
      </w:pPr>
    </w:p>
    <w:p>
      <w:pPr>
        <w:keepNext/>
        <w:keepLines/>
        <w:widowControl/>
        <w:tabs>
          <w:tab w:val="left" w:pos="720"/>
        </w:tabs>
        <w:spacing w:before="120" w:after="120" w:line="360" w:lineRule="auto"/>
        <w:jc w:val="both"/>
        <w:outlineLvl w:val="9"/>
        <w:rPr>
          <w:rFonts w:ascii="黑体" w:hAnsi="黑体" w:eastAsia="黑体" w:cs="黑体"/>
          <w:b/>
          <w:kern w:val="44"/>
          <w:sz w:val="36"/>
          <w:szCs w:val="36"/>
          <w:highlight w:val="none"/>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highlight w:val="none"/>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highlight w:val="none"/>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highlight w:val="none"/>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highlight w:val="none"/>
        </w:rPr>
      </w:pPr>
    </w:p>
    <w:p>
      <w:pPr>
        <w:pStyle w:val="2"/>
        <w:rPr>
          <w:highlight w:val="none"/>
        </w:rPr>
      </w:pPr>
    </w:p>
    <w:p>
      <w:pPr>
        <w:pStyle w:val="2"/>
        <w:rPr>
          <w:highlight w:val="none"/>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highlight w:val="none"/>
        </w:rPr>
      </w:pPr>
      <w:bookmarkStart w:id="66" w:name="_Toc11573"/>
      <w:r>
        <w:rPr>
          <w:rFonts w:ascii="黑体" w:hAnsi="黑体" w:eastAsia="黑体" w:cs="黑体"/>
          <w:b/>
          <w:kern w:val="44"/>
          <w:sz w:val="36"/>
          <w:szCs w:val="36"/>
          <w:highlight w:val="none"/>
        </w:rPr>
        <w:t>第</w:t>
      </w:r>
      <w:r>
        <w:rPr>
          <w:rFonts w:hint="eastAsia" w:ascii="黑体" w:hAnsi="黑体" w:eastAsia="黑体" w:cs="黑体"/>
          <w:b/>
          <w:kern w:val="44"/>
          <w:sz w:val="36"/>
          <w:szCs w:val="36"/>
          <w:highlight w:val="none"/>
        </w:rPr>
        <w:t>六</w:t>
      </w:r>
      <w:r>
        <w:rPr>
          <w:rFonts w:ascii="黑体" w:hAnsi="黑体" w:eastAsia="黑体" w:cs="黑体"/>
          <w:b/>
          <w:kern w:val="44"/>
          <w:sz w:val="36"/>
          <w:szCs w:val="36"/>
          <w:highlight w:val="none"/>
        </w:rPr>
        <w:t>部分</w:t>
      </w:r>
      <w:r>
        <w:rPr>
          <w:rFonts w:hint="eastAsia" w:ascii="黑体" w:hAnsi="黑体" w:eastAsia="黑体" w:cs="黑体"/>
          <w:b/>
          <w:kern w:val="44"/>
          <w:sz w:val="36"/>
          <w:szCs w:val="36"/>
          <w:highlight w:val="none"/>
        </w:rPr>
        <w:t xml:space="preserve">  竞争性磋商最后报价书</w:t>
      </w:r>
      <w:bookmarkEnd w:id="64"/>
      <w:bookmarkEnd w:id="65"/>
      <w:bookmarkEnd w:id="66"/>
    </w:p>
    <w:p>
      <w:pPr>
        <w:spacing w:line="500" w:lineRule="exact"/>
        <w:ind w:firstLine="645"/>
        <w:rPr>
          <w:rFonts w:ascii="微软雅黑" w:hAnsi="微软雅黑" w:eastAsia="微软雅黑" w:cs="微软雅黑"/>
          <w:b/>
          <w:bCs/>
          <w:sz w:val="32"/>
          <w:szCs w:val="32"/>
          <w:highlight w:val="none"/>
        </w:rPr>
      </w:pPr>
    </w:p>
    <w:p>
      <w:pPr>
        <w:spacing w:line="500" w:lineRule="exact"/>
        <w:ind w:left="2161" w:leftChars="295" w:hanging="1536" w:hangingChars="545"/>
        <w:rPr>
          <w:rFonts w:ascii="微软雅黑" w:hAnsi="微软雅黑" w:eastAsia="微软雅黑" w:cs="微软雅黑"/>
          <w:sz w:val="28"/>
          <w:szCs w:val="28"/>
          <w:highlight w:val="none"/>
        </w:rPr>
      </w:pPr>
    </w:p>
    <w:p>
      <w:pPr>
        <w:spacing w:line="500" w:lineRule="exact"/>
        <w:ind w:left="1943" w:leftChars="295" w:hanging="1318" w:hangingChars="545"/>
        <w:rPr>
          <w:rFonts w:hint="eastAsia" w:ascii="宋体" w:hAnsi="宋体" w:eastAsia="宋体" w:cs="宋体"/>
          <w:sz w:val="24"/>
          <w:szCs w:val="24"/>
          <w:highlight w:val="none"/>
        </w:rPr>
      </w:pPr>
      <w:r>
        <w:rPr>
          <w:rFonts w:hint="eastAsia" w:ascii="宋体" w:hAnsi="宋体" w:eastAsia="宋体" w:cs="宋体"/>
          <w:sz w:val="24"/>
          <w:szCs w:val="24"/>
          <w:highlight w:val="none"/>
        </w:rPr>
        <w:t>项目明称：XXXX 项目</w:t>
      </w:r>
    </w:p>
    <w:p>
      <w:pPr>
        <w:spacing w:line="500" w:lineRule="exact"/>
        <w:ind w:left="1943" w:leftChars="295" w:hanging="1318" w:hangingChars="545"/>
        <w:rPr>
          <w:rFonts w:hint="eastAsia" w:ascii="宋体" w:hAnsi="宋体" w:eastAsia="宋体" w:cs="宋体"/>
          <w:sz w:val="24"/>
          <w:szCs w:val="24"/>
          <w:highlight w:val="none"/>
        </w:rPr>
      </w:pPr>
    </w:p>
    <w:p>
      <w:pPr>
        <w:spacing w:line="500" w:lineRule="exact"/>
        <w:ind w:left="1943" w:leftChars="295" w:hanging="1318" w:hangingChars="545"/>
        <w:rPr>
          <w:rFonts w:hint="eastAsia" w:ascii="宋体" w:hAnsi="宋体" w:eastAsia="宋体" w:cs="宋体"/>
          <w:sz w:val="24"/>
          <w:szCs w:val="24"/>
          <w:highlight w:val="none"/>
        </w:rPr>
      </w:pPr>
      <w:r>
        <w:rPr>
          <w:rFonts w:hint="eastAsia" w:ascii="宋体" w:hAnsi="宋体" w:eastAsia="宋体" w:cs="宋体"/>
          <w:sz w:val="24"/>
          <w:szCs w:val="24"/>
          <w:highlight w:val="none"/>
        </w:rPr>
        <w:t>项目编号：（XXXX ）</w:t>
      </w:r>
    </w:p>
    <w:p>
      <w:pPr>
        <w:spacing w:line="500" w:lineRule="exact"/>
        <w:ind w:firstLine="425"/>
        <w:rPr>
          <w:rFonts w:hint="eastAsia" w:ascii="宋体" w:hAnsi="宋体" w:eastAsia="宋体" w:cs="宋体"/>
          <w:sz w:val="24"/>
          <w:szCs w:val="24"/>
          <w:highlight w:val="none"/>
        </w:rPr>
      </w:pPr>
    </w:p>
    <w:p>
      <w:pPr>
        <w:spacing w:line="500" w:lineRule="exact"/>
        <w:ind w:firstLine="425"/>
        <w:rPr>
          <w:rFonts w:hint="eastAsia" w:ascii="宋体" w:hAnsi="宋体" w:eastAsia="宋体" w:cs="宋体"/>
          <w:sz w:val="24"/>
          <w:szCs w:val="24"/>
          <w:highlight w:val="none"/>
        </w:rPr>
      </w:pPr>
    </w:p>
    <w:p>
      <w:pPr>
        <w:spacing w:line="500" w:lineRule="exact"/>
        <w:ind w:firstLine="425"/>
        <w:rPr>
          <w:rFonts w:hint="eastAsia" w:ascii="宋体" w:hAnsi="宋体" w:eastAsia="宋体" w:cs="宋体"/>
          <w:sz w:val="24"/>
          <w:szCs w:val="24"/>
          <w:highlight w:val="none"/>
        </w:rPr>
      </w:pPr>
    </w:p>
    <w:p>
      <w:pPr>
        <w:spacing w:line="500" w:lineRule="exact"/>
        <w:ind w:firstLine="425"/>
        <w:rPr>
          <w:rFonts w:hint="eastAsia" w:ascii="宋体" w:hAnsi="宋体" w:eastAsia="宋体" w:cs="宋体"/>
          <w:sz w:val="24"/>
          <w:szCs w:val="24"/>
          <w:highlight w:val="none"/>
        </w:rPr>
      </w:pPr>
    </w:p>
    <w:p>
      <w:pPr>
        <w:spacing w:line="500" w:lineRule="exact"/>
        <w:ind w:firstLine="3025" w:firstLineChars="1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供应商全称：                      </w:t>
      </w:r>
    </w:p>
    <w:p>
      <w:pPr>
        <w:spacing w:line="500" w:lineRule="exact"/>
        <w:ind w:firstLine="3025" w:firstLineChars="1250"/>
        <w:rPr>
          <w:rFonts w:hint="eastAsia" w:ascii="宋体" w:hAnsi="宋体" w:eastAsia="宋体" w:cs="宋体"/>
          <w:sz w:val="24"/>
          <w:szCs w:val="24"/>
          <w:highlight w:val="none"/>
        </w:rPr>
      </w:pPr>
    </w:p>
    <w:p>
      <w:pPr>
        <w:spacing w:line="500" w:lineRule="exact"/>
        <w:ind w:firstLine="3025" w:firstLineChars="1250"/>
        <w:rPr>
          <w:rFonts w:hint="eastAsia" w:ascii="宋体" w:hAnsi="宋体" w:eastAsia="宋体" w:cs="宋体"/>
          <w:sz w:val="24"/>
          <w:szCs w:val="24"/>
          <w:highlight w:val="none"/>
        </w:rPr>
      </w:pPr>
    </w:p>
    <w:p>
      <w:pPr>
        <w:spacing w:line="500" w:lineRule="exact"/>
        <w:ind w:firstLine="3025" w:firstLineChars="1250"/>
        <w:rPr>
          <w:rFonts w:hint="eastAsia" w:ascii="宋体" w:hAnsi="宋体" w:eastAsia="宋体" w:cs="宋体"/>
          <w:sz w:val="24"/>
          <w:szCs w:val="24"/>
          <w:highlight w:val="none"/>
        </w:rPr>
      </w:pPr>
    </w:p>
    <w:p>
      <w:pPr>
        <w:spacing w:line="500" w:lineRule="exact"/>
        <w:ind w:firstLine="3025" w:firstLineChars="1250"/>
        <w:rPr>
          <w:rFonts w:hint="eastAsia" w:ascii="宋体" w:hAnsi="宋体" w:eastAsia="宋体" w:cs="宋体"/>
          <w:sz w:val="24"/>
          <w:szCs w:val="24"/>
          <w:highlight w:val="none"/>
        </w:rPr>
      </w:pPr>
    </w:p>
    <w:p>
      <w:pPr>
        <w:spacing w:line="500" w:lineRule="exact"/>
        <w:ind w:firstLine="3025" w:firstLineChars="12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法定代表人或授权代表签字：               </w:t>
      </w:r>
    </w:p>
    <w:p>
      <w:pPr>
        <w:spacing w:line="500" w:lineRule="exact"/>
        <w:rPr>
          <w:rFonts w:hint="eastAsia" w:ascii="宋体" w:hAnsi="宋体" w:eastAsia="宋体" w:cs="宋体"/>
          <w:sz w:val="24"/>
          <w:szCs w:val="24"/>
          <w:highlight w:val="none"/>
        </w:rPr>
      </w:pPr>
    </w:p>
    <w:p>
      <w:pPr>
        <w:spacing w:line="500" w:lineRule="exact"/>
        <w:ind w:firstLine="426"/>
        <w:jc w:val="center"/>
        <w:outlineLvl w:val="0"/>
        <w:rPr>
          <w:rFonts w:ascii="微软雅黑" w:hAnsi="微软雅黑" w:eastAsia="微软雅黑" w:cs="微软雅黑"/>
          <w:b/>
          <w:bCs/>
          <w:kern w:val="0"/>
          <w:sz w:val="44"/>
          <w:szCs w:val="4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bookmarkStart w:id="67" w:name="_Toc20481"/>
      <w:r>
        <w:rPr>
          <w:rFonts w:hint="eastAsia" w:ascii="宋体" w:hAnsi="宋体" w:eastAsia="宋体" w:cs="宋体"/>
          <w:sz w:val="24"/>
          <w:szCs w:val="24"/>
          <w:highlight w:val="none"/>
          <w:lang w:eastAsia="zh-CN"/>
        </w:rPr>
        <w:t>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年   月    日</w:t>
      </w:r>
      <w:r>
        <w:rPr>
          <w:szCs w:val="36"/>
          <w:highlight w:val="none"/>
        </w:rPr>
        <w:br w:type="page"/>
      </w:r>
      <w:r>
        <w:rPr>
          <w:rFonts w:hint="eastAsia" w:ascii="黑体" w:hAnsi="黑体" w:eastAsia="黑体"/>
          <w:b/>
          <w:bCs/>
          <w:kern w:val="0"/>
          <w:sz w:val="44"/>
          <w:szCs w:val="44"/>
          <w:highlight w:val="none"/>
        </w:rPr>
        <w:t>竞争性磋商最后报价</w:t>
      </w:r>
      <w:bookmarkEnd w:id="67"/>
    </w:p>
    <w:p>
      <w:pPr>
        <w:spacing w:line="500" w:lineRule="exact"/>
        <w:ind w:firstLine="725"/>
        <w:rPr>
          <w:rFonts w:ascii="微软雅黑" w:hAnsi="微软雅黑" w:eastAsia="微软雅黑" w:cs="微软雅黑"/>
          <w:b/>
          <w:bCs/>
          <w:kern w:val="0"/>
          <w:sz w:val="24"/>
          <w:szCs w:val="24"/>
          <w:highlight w:val="none"/>
        </w:rPr>
      </w:pPr>
    </w:p>
    <w:p>
      <w:pPr>
        <w:spacing w:line="500" w:lineRule="exact"/>
        <w:ind w:firstLine="425"/>
        <w:rPr>
          <w:rFonts w:ascii="宋体" w:hAnsi="宋体" w:cs="微软雅黑"/>
          <w:kern w:val="0"/>
          <w:sz w:val="24"/>
          <w:szCs w:val="24"/>
          <w:highlight w:val="none"/>
        </w:rPr>
      </w:pPr>
      <w:r>
        <w:rPr>
          <w:rFonts w:hint="eastAsia" w:ascii="宋体" w:hAnsi="宋体" w:cs="微软雅黑"/>
          <w:kern w:val="0"/>
          <w:sz w:val="24"/>
          <w:szCs w:val="24"/>
          <w:highlight w:val="none"/>
          <w:lang w:eastAsia="zh-CN"/>
        </w:rPr>
        <w:t xml:space="preserve">正信伟业工程咨询管理有限公司 </w:t>
      </w:r>
      <w:r>
        <w:rPr>
          <w:rFonts w:hint="eastAsia" w:ascii="宋体" w:hAnsi="宋体" w:cs="微软雅黑"/>
          <w:kern w:val="0"/>
          <w:sz w:val="24"/>
          <w:szCs w:val="24"/>
          <w:highlight w:val="none"/>
        </w:rPr>
        <w:t>：</w:t>
      </w:r>
    </w:p>
    <w:p>
      <w:pPr>
        <w:spacing w:line="500" w:lineRule="exact"/>
        <w:ind w:firstLine="605" w:firstLineChars="250"/>
        <w:rPr>
          <w:rFonts w:ascii="宋体" w:hAnsi="宋体" w:cs="微软雅黑"/>
          <w:kern w:val="0"/>
          <w:sz w:val="24"/>
          <w:szCs w:val="24"/>
          <w:highlight w:val="none"/>
        </w:rPr>
      </w:pPr>
    </w:p>
    <w:p>
      <w:pPr>
        <w:spacing w:line="500" w:lineRule="exact"/>
        <w:ind w:firstLine="968" w:firstLineChars="400"/>
        <w:rPr>
          <w:rFonts w:ascii="宋体" w:hAnsi="宋体" w:cs="微软雅黑"/>
          <w:kern w:val="0"/>
          <w:sz w:val="24"/>
          <w:szCs w:val="24"/>
          <w:highlight w:val="none"/>
        </w:rPr>
      </w:pPr>
      <w:r>
        <w:rPr>
          <w:rFonts w:hint="eastAsia" w:ascii="宋体" w:hAnsi="宋体" w:cs="微软雅黑"/>
          <w:kern w:val="0"/>
          <w:sz w:val="24"/>
          <w:szCs w:val="24"/>
          <w:highlight w:val="none"/>
          <w:u w:val="single"/>
        </w:rPr>
        <w:t xml:space="preserve">        </w:t>
      </w:r>
      <w:r>
        <w:rPr>
          <w:rFonts w:hint="eastAsia" w:ascii="宋体" w:hAnsi="宋体" w:cs="微软雅黑"/>
          <w:kern w:val="0"/>
          <w:sz w:val="24"/>
          <w:szCs w:val="24"/>
          <w:highlight w:val="none"/>
          <w:u w:val="single"/>
          <w:lang w:val="en-US" w:eastAsia="zh-CN"/>
        </w:rPr>
        <w:t xml:space="preserve">             </w:t>
      </w:r>
      <w:r>
        <w:rPr>
          <w:rFonts w:hint="eastAsia" w:ascii="宋体" w:hAnsi="宋体" w:cs="微软雅黑"/>
          <w:kern w:val="0"/>
          <w:sz w:val="24"/>
          <w:szCs w:val="24"/>
          <w:highlight w:val="none"/>
          <w:u w:val="single"/>
        </w:rPr>
        <w:t xml:space="preserve"> （供应商全称）</w:t>
      </w:r>
      <w:r>
        <w:rPr>
          <w:rFonts w:hint="eastAsia" w:ascii="宋体" w:hAnsi="宋体" w:cs="微软雅黑"/>
          <w:kern w:val="0"/>
          <w:sz w:val="24"/>
          <w:szCs w:val="24"/>
          <w:highlight w:val="none"/>
        </w:rPr>
        <w:t>授权</w:t>
      </w:r>
      <w:r>
        <w:rPr>
          <w:rFonts w:hint="eastAsia" w:ascii="宋体" w:hAnsi="宋体" w:cs="微软雅黑"/>
          <w:kern w:val="0"/>
          <w:sz w:val="24"/>
          <w:szCs w:val="24"/>
          <w:highlight w:val="none"/>
          <w:u w:val="single"/>
        </w:rPr>
        <w:t xml:space="preserve">     </w:t>
      </w:r>
      <w:r>
        <w:rPr>
          <w:rFonts w:hint="eastAsia" w:ascii="宋体" w:hAnsi="宋体" w:cs="微软雅黑"/>
          <w:kern w:val="0"/>
          <w:sz w:val="24"/>
          <w:szCs w:val="24"/>
          <w:highlight w:val="none"/>
          <w:u w:val="single"/>
          <w:lang w:val="en-US" w:eastAsia="zh-CN"/>
        </w:rPr>
        <w:t xml:space="preserve">       </w:t>
      </w:r>
      <w:r>
        <w:rPr>
          <w:rFonts w:hint="eastAsia" w:ascii="宋体" w:hAnsi="宋体" w:cs="微软雅黑"/>
          <w:kern w:val="0"/>
          <w:sz w:val="24"/>
          <w:szCs w:val="24"/>
          <w:highlight w:val="none"/>
          <w:u w:val="single"/>
        </w:rPr>
        <w:t xml:space="preserve"> （授权代表姓名）     </w:t>
      </w:r>
      <w:r>
        <w:rPr>
          <w:rFonts w:hint="eastAsia" w:ascii="宋体" w:hAnsi="宋体" w:cs="微软雅黑"/>
          <w:kern w:val="0"/>
          <w:sz w:val="24"/>
          <w:szCs w:val="24"/>
          <w:highlight w:val="none"/>
          <w:u w:val="single"/>
          <w:lang w:val="en-US" w:eastAsia="zh-CN"/>
        </w:rPr>
        <w:t xml:space="preserve"> </w:t>
      </w:r>
      <w:r>
        <w:rPr>
          <w:rFonts w:hint="eastAsia" w:ascii="宋体" w:hAnsi="宋体" w:cs="微软雅黑"/>
          <w:kern w:val="0"/>
          <w:sz w:val="24"/>
          <w:szCs w:val="24"/>
          <w:highlight w:val="none"/>
          <w:u w:val="single"/>
        </w:rPr>
        <w:t>（职务、职称）</w:t>
      </w:r>
      <w:r>
        <w:rPr>
          <w:rFonts w:hint="eastAsia" w:ascii="宋体" w:hAnsi="宋体" w:cs="微软雅黑"/>
          <w:kern w:val="0"/>
          <w:sz w:val="24"/>
          <w:szCs w:val="24"/>
          <w:highlight w:val="none"/>
        </w:rPr>
        <w:t>为授权代表，参加贵方组织的</w:t>
      </w:r>
      <w:r>
        <w:rPr>
          <w:rFonts w:hint="eastAsia" w:ascii="宋体" w:hAnsi="宋体" w:cs="微软雅黑"/>
          <w:kern w:val="0"/>
          <w:sz w:val="24"/>
          <w:szCs w:val="24"/>
          <w:highlight w:val="none"/>
          <w:u w:val="single"/>
          <w:lang w:val="en-US" w:eastAsia="zh-CN"/>
        </w:rPr>
        <w:t xml:space="preserve">       </w:t>
      </w:r>
      <w:r>
        <w:rPr>
          <w:rFonts w:hint="eastAsia" w:ascii="宋体" w:hAnsi="宋体" w:cs="微软雅黑"/>
          <w:kern w:val="0"/>
          <w:sz w:val="24"/>
          <w:szCs w:val="24"/>
          <w:highlight w:val="none"/>
          <w:u w:val="single"/>
        </w:rPr>
        <w:t>（XXXX 项目、采购编号XXXX )</w:t>
      </w:r>
      <w:r>
        <w:rPr>
          <w:rFonts w:hint="eastAsia" w:ascii="宋体" w:hAnsi="宋体" w:cs="微软雅黑"/>
          <w:kern w:val="0"/>
          <w:sz w:val="24"/>
          <w:szCs w:val="24"/>
          <w:highlight w:val="none"/>
        </w:rPr>
        <w:t>竞争性磋商的有关活动，并对该项目进行最后报价。</w:t>
      </w:r>
    </w:p>
    <w:p>
      <w:pPr>
        <w:spacing w:line="500" w:lineRule="exact"/>
        <w:ind w:firstLine="363" w:firstLineChars="150"/>
        <w:rPr>
          <w:rFonts w:ascii="宋体" w:hAnsi="宋体" w:cs="微软雅黑"/>
          <w:kern w:val="0"/>
          <w:sz w:val="24"/>
          <w:szCs w:val="24"/>
          <w:highlight w:val="none"/>
        </w:rPr>
      </w:pPr>
      <w:r>
        <w:rPr>
          <w:rFonts w:hint="eastAsia" w:ascii="宋体" w:hAnsi="宋体" w:cs="微软雅黑"/>
          <w:kern w:val="0"/>
          <w:sz w:val="24"/>
          <w:szCs w:val="24"/>
          <w:highlight w:val="none"/>
        </w:rPr>
        <w:t>1、提供最后报价书正本1份、副本2份；</w:t>
      </w:r>
    </w:p>
    <w:p>
      <w:pPr>
        <w:spacing w:line="500" w:lineRule="exact"/>
        <w:ind w:firstLine="363" w:firstLineChars="150"/>
        <w:rPr>
          <w:rFonts w:ascii="宋体" w:hAnsi="宋体" w:cs="微软雅黑"/>
          <w:kern w:val="0"/>
          <w:sz w:val="24"/>
          <w:szCs w:val="24"/>
          <w:highlight w:val="none"/>
        </w:rPr>
      </w:pPr>
      <w:r>
        <w:rPr>
          <w:rFonts w:hint="eastAsia" w:ascii="宋体" w:hAnsi="宋体" w:cs="微软雅黑"/>
          <w:kern w:val="0"/>
          <w:sz w:val="24"/>
          <w:szCs w:val="24"/>
          <w:highlight w:val="none"/>
        </w:rPr>
        <w:t>2、最后报价：</w:t>
      </w:r>
      <w:r>
        <w:rPr>
          <w:rFonts w:hint="eastAsia" w:ascii="宋体" w:hAnsi="宋体" w:cs="微软雅黑"/>
          <w:kern w:val="0"/>
          <w:sz w:val="24"/>
          <w:szCs w:val="24"/>
          <w:highlight w:val="none"/>
          <w:u w:val="single"/>
        </w:rPr>
        <w:t>（小写）               元人民币</w:t>
      </w:r>
      <w:r>
        <w:rPr>
          <w:rFonts w:hint="eastAsia" w:ascii="宋体" w:hAnsi="宋体" w:cs="微软雅黑"/>
          <w:kern w:val="0"/>
          <w:sz w:val="24"/>
          <w:szCs w:val="24"/>
          <w:highlight w:val="none"/>
        </w:rPr>
        <w:t>。</w:t>
      </w:r>
    </w:p>
    <w:p>
      <w:pPr>
        <w:spacing w:line="500" w:lineRule="exact"/>
        <w:ind w:firstLine="363" w:firstLineChars="150"/>
        <w:rPr>
          <w:rFonts w:ascii="宋体" w:hAnsi="宋体" w:cs="微软雅黑"/>
          <w:kern w:val="0"/>
          <w:sz w:val="24"/>
          <w:szCs w:val="24"/>
          <w:highlight w:val="none"/>
        </w:rPr>
      </w:pPr>
      <w:r>
        <w:rPr>
          <w:rFonts w:hint="eastAsia" w:ascii="宋体" w:hAnsi="宋体" w:cs="微软雅黑"/>
          <w:kern w:val="0"/>
          <w:sz w:val="24"/>
          <w:szCs w:val="24"/>
          <w:highlight w:val="none"/>
        </w:rPr>
        <w:t xml:space="preserve">             </w:t>
      </w:r>
      <w:r>
        <w:rPr>
          <w:rFonts w:hint="eastAsia" w:ascii="宋体" w:hAnsi="宋体" w:cs="微软雅黑"/>
          <w:kern w:val="0"/>
          <w:sz w:val="24"/>
          <w:szCs w:val="24"/>
          <w:highlight w:val="none"/>
          <w:u w:val="single"/>
        </w:rPr>
        <w:t>（大写）               元人民币</w:t>
      </w:r>
      <w:r>
        <w:rPr>
          <w:rFonts w:hint="eastAsia" w:ascii="宋体" w:hAnsi="宋体" w:cs="微软雅黑"/>
          <w:kern w:val="0"/>
          <w:sz w:val="24"/>
          <w:szCs w:val="24"/>
          <w:highlight w:val="none"/>
        </w:rPr>
        <w:t>。</w:t>
      </w:r>
    </w:p>
    <w:p>
      <w:pPr>
        <w:spacing w:line="500" w:lineRule="exact"/>
        <w:ind w:firstLine="363" w:firstLineChars="150"/>
        <w:rPr>
          <w:rFonts w:ascii="宋体" w:hAnsi="宋体" w:cs="微软雅黑"/>
          <w:kern w:val="0"/>
          <w:sz w:val="24"/>
          <w:szCs w:val="24"/>
          <w:highlight w:val="none"/>
        </w:rPr>
      </w:pPr>
      <w:r>
        <w:rPr>
          <w:rFonts w:hint="eastAsia" w:ascii="宋体" w:hAnsi="宋体" w:cs="微软雅黑"/>
          <w:kern w:val="0"/>
          <w:sz w:val="24"/>
          <w:szCs w:val="24"/>
          <w:highlight w:val="none"/>
        </w:rPr>
        <w:t>3、</w:t>
      </w:r>
      <w:r>
        <w:rPr>
          <w:rFonts w:hint="eastAsia" w:ascii="宋体" w:hAnsi="宋体" w:eastAsia="宋体" w:cs="宋体"/>
          <w:sz w:val="24"/>
          <w:szCs w:val="24"/>
          <w:highlight w:val="none"/>
        </w:rPr>
        <w:t>合同履行期限</w:t>
      </w:r>
      <w:r>
        <w:rPr>
          <w:rFonts w:hint="eastAsia" w:ascii="宋体" w:hAnsi="宋体" w:cs="微软雅黑"/>
          <w:kern w:val="0"/>
          <w:sz w:val="24"/>
          <w:szCs w:val="24"/>
          <w:highlight w:val="none"/>
        </w:rPr>
        <w:t>：</w:t>
      </w:r>
      <w:r>
        <w:rPr>
          <w:rFonts w:hint="eastAsia" w:ascii="宋体" w:hAnsi="宋体" w:cs="微软雅黑"/>
          <w:kern w:val="0"/>
          <w:sz w:val="24"/>
          <w:szCs w:val="24"/>
          <w:highlight w:val="none"/>
          <w:u w:val="single"/>
        </w:rPr>
        <w:t xml:space="preserve">                           </w:t>
      </w:r>
      <w:r>
        <w:rPr>
          <w:rFonts w:hint="eastAsia" w:ascii="宋体" w:hAnsi="宋体" w:cs="微软雅黑"/>
          <w:kern w:val="0"/>
          <w:sz w:val="24"/>
          <w:szCs w:val="24"/>
          <w:highlight w:val="none"/>
        </w:rPr>
        <w:t>。</w:t>
      </w:r>
    </w:p>
    <w:p>
      <w:pPr>
        <w:spacing w:line="500" w:lineRule="exact"/>
        <w:ind w:firstLine="363" w:firstLineChars="150"/>
        <w:rPr>
          <w:rFonts w:ascii="宋体" w:hAnsi="宋体" w:cs="微软雅黑"/>
          <w:kern w:val="0"/>
          <w:sz w:val="24"/>
          <w:szCs w:val="24"/>
          <w:highlight w:val="none"/>
        </w:rPr>
      </w:pPr>
      <w:r>
        <w:rPr>
          <w:rFonts w:hint="eastAsia" w:ascii="宋体" w:hAnsi="宋体" w:cs="微软雅黑"/>
          <w:kern w:val="0"/>
          <w:sz w:val="24"/>
          <w:szCs w:val="24"/>
          <w:highlight w:val="none"/>
        </w:rPr>
        <w:t>4、保证遵守竞争性磋商文件规定；</w:t>
      </w:r>
    </w:p>
    <w:p>
      <w:pPr>
        <w:pStyle w:val="9"/>
        <w:spacing w:line="500" w:lineRule="exact"/>
        <w:ind w:firstLine="363" w:firstLineChars="150"/>
        <w:rPr>
          <w:rFonts w:ascii="宋体" w:hAnsi="宋体" w:eastAsia="宋体" w:cs="微软雅黑"/>
          <w:sz w:val="24"/>
          <w:szCs w:val="24"/>
          <w:highlight w:val="none"/>
        </w:rPr>
      </w:pPr>
      <w:r>
        <w:rPr>
          <w:rFonts w:hint="eastAsia" w:ascii="宋体" w:hAnsi="宋体" w:eastAsia="宋体" w:cs="微软雅黑"/>
          <w:sz w:val="24"/>
          <w:szCs w:val="24"/>
          <w:highlight w:val="none"/>
        </w:rPr>
        <w:t>5、保证严格执行甲乙双方所签订的《政府合同》，并承担《政府合同》规定的责任义务；</w:t>
      </w:r>
    </w:p>
    <w:p>
      <w:pPr>
        <w:pStyle w:val="11"/>
        <w:spacing w:line="500" w:lineRule="exact"/>
        <w:ind w:left="0" w:firstLine="363" w:firstLineChars="150"/>
        <w:rPr>
          <w:rFonts w:ascii="宋体" w:hAnsi="宋体" w:eastAsia="宋体" w:cs="微软雅黑"/>
          <w:sz w:val="24"/>
          <w:szCs w:val="24"/>
          <w:highlight w:val="none"/>
        </w:rPr>
      </w:pPr>
      <w:r>
        <w:rPr>
          <w:rFonts w:hint="eastAsia" w:ascii="宋体" w:hAnsi="宋体" w:eastAsia="宋体" w:cs="微软雅黑"/>
          <w:sz w:val="24"/>
          <w:szCs w:val="24"/>
          <w:highlight w:val="none"/>
        </w:rPr>
        <w:t>6、愿意向贵方提供任何与该项活动有关的数据、情况和技术资料。</w:t>
      </w:r>
    </w:p>
    <w:p>
      <w:pPr>
        <w:spacing w:line="500" w:lineRule="exact"/>
        <w:ind w:firstLine="726" w:firstLineChars="300"/>
        <w:rPr>
          <w:rFonts w:ascii="宋体" w:hAnsi="宋体" w:cs="微软雅黑"/>
          <w:kern w:val="0"/>
          <w:sz w:val="24"/>
          <w:szCs w:val="24"/>
          <w:highlight w:val="none"/>
        </w:rPr>
      </w:pPr>
    </w:p>
    <w:p>
      <w:pPr>
        <w:spacing w:line="500" w:lineRule="exact"/>
        <w:ind w:firstLine="726" w:firstLineChars="300"/>
        <w:outlineLvl w:val="0"/>
        <w:rPr>
          <w:rFonts w:ascii="宋体" w:hAnsi="宋体" w:cs="微软雅黑"/>
          <w:kern w:val="0"/>
          <w:sz w:val="24"/>
          <w:szCs w:val="24"/>
          <w:highlight w:val="none"/>
        </w:rPr>
      </w:pPr>
      <w:bookmarkStart w:id="68" w:name="_Toc5533"/>
      <w:r>
        <w:rPr>
          <w:rFonts w:hint="eastAsia" w:ascii="宋体" w:hAnsi="宋体" w:cs="微软雅黑"/>
          <w:kern w:val="0"/>
          <w:sz w:val="24"/>
          <w:szCs w:val="24"/>
          <w:highlight w:val="none"/>
        </w:rPr>
        <w:t>附件1：报价明细</w:t>
      </w:r>
      <w:bookmarkEnd w:id="68"/>
    </w:p>
    <w:p>
      <w:pPr>
        <w:spacing w:line="500" w:lineRule="exact"/>
        <w:ind w:firstLine="425"/>
        <w:rPr>
          <w:rFonts w:ascii="宋体" w:hAnsi="宋体" w:cs="微软雅黑"/>
          <w:kern w:val="0"/>
          <w:sz w:val="24"/>
          <w:szCs w:val="24"/>
          <w:highlight w:val="none"/>
        </w:rPr>
      </w:pPr>
    </w:p>
    <w:p>
      <w:pPr>
        <w:spacing w:line="500" w:lineRule="exact"/>
        <w:ind w:firstLine="726" w:firstLineChars="300"/>
        <w:outlineLvl w:val="0"/>
        <w:rPr>
          <w:rFonts w:ascii="宋体" w:hAnsi="宋体" w:cs="微软雅黑"/>
          <w:kern w:val="0"/>
          <w:sz w:val="24"/>
          <w:szCs w:val="24"/>
          <w:highlight w:val="none"/>
        </w:rPr>
      </w:pPr>
      <w:bookmarkStart w:id="69" w:name="_Toc28413"/>
      <w:r>
        <w:rPr>
          <w:rFonts w:hint="eastAsia" w:ascii="宋体" w:hAnsi="宋体" w:cs="微软雅黑"/>
          <w:kern w:val="0"/>
          <w:sz w:val="24"/>
          <w:szCs w:val="24"/>
          <w:highlight w:val="none"/>
        </w:rPr>
        <w:t>附件2：最后报价调整说明</w:t>
      </w:r>
      <w:bookmarkEnd w:id="69"/>
    </w:p>
    <w:p>
      <w:pPr>
        <w:spacing w:line="500" w:lineRule="exact"/>
        <w:ind w:firstLine="423" w:firstLineChars="175"/>
        <w:rPr>
          <w:rFonts w:ascii="宋体" w:hAnsi="宋体" w:cs="微软雅黑"/>
          <w:kern w:val="0"/>
          <w:sz w:val="24"/>
          <w:szCs w:val="24"/>
          <w:highlight w:val="none"/>
        </w:rPr>
      </w:pPr>
    </w:p>
    <w:p>
      <w:pPr>
        <w:spacing w:line="500" w:lineRule="exact"/>
        <w:ind w:firstLine="423" w:firstLineChars="175"/>
        <w:rPr>
          <w:rFonts w:ascii="宋体" w:hAnsi="宋体" w:cs="微软雅黑"/>
          <w:kern w:val="0"/>
          <w:sz w:val="24"/>
          <w:szCs w:val="24"/>
          <w:highlight w:val="none"/>
        </w:rPr>
      </w:pPr>
    </w:p>
    <w:p>
      <w:pPr>
        <w:spacing w:line="500" w:lineRule="exact"/>
        <w:ind w:firstLine="2359" w:firstLineChars="975"/>
        <w:rPr>
          <w:rFonts w:ascii="宋体" w:hAnsi="宋体" w:cs="微软雅黑"/>
          <w:kern w:val="0"/>
          <w:sz w:val="24"/>
          <w:szCs w:val="24"/>
          <w:highlight w:val="none"/>
        </w:rPr>
      </w:pPr>
      <w:r>
        <w:rPr>
          <w:rFonts w:hint="eastAsia" w:ascii="宋体" w:hAnsi="宋体" w:cs="微软雅黑"/>
          <w:kern w:val="0"/>
          <w:sz w:val="24"/>
          <w:szCs w:val="24"/>
          <w:highlight w:val="none"/>
        </w:rPr>
        <w:t xml:space="preserve">法定代表人或授权代表（签字）：                   </w:t>
      </w:r>
    </w:p>
    <w:p>
      <w:pPr>
        <w:spacing w:line="500" w:lineRule="exact"/>
        <w:ind w:firstLine="2359" w:firstLineChars="975"/>
        <w:rPr>
          <w:rFonts w:ascii="宋体" w:hAnsi="宋体" w:cs="微软雅黑"/>
          <w:kern w:val="0"/>
          <w:sz w:val="24"/>
          <w:szCs w:val="24"/>
          <w:highlight w:val="none"/>
        </w:rPr>
      </w:pPr>
    </w:p>
    <w:p>
      <w:pPr>
        <w:spacing w:line="500" w:lineRule="exact"/>
        <w:ind w:firstLine="2359" w:firstLineChars="975"/>
        <w:rPr>
          <w:rFonts w:ascii="宋体" w:hAnsi="宋体" w:cs="微软雅黑"/>
          <w:kern w:val="0"/>
          <w:sz w:val="24"/>
          <w:szCs w:val="24"/>
          <w:highlight w:val="none"/>
        </w:rPr>
      </w:pPr>
    </w:p>
    <w:p>
      <w:pPr>
        <w:spacing w:line="500" w:lineRule="exact"/>
        <w:ind w:firstLine="2359" w:firstLineChars="975"/>
        <w:rPr>
          <w:rFonts w:ascii="宋体" w:hAnsi="宋体" w:cs="微软雅黑"/>
          <w:kern w:val="0"/>
          <w:szCs w:val="21"/>
          <w:highlight w:val="none"/>
        </w:rPr>
      </w:pPr>
      <w:r>
        <w:rPr>
          <w:rFonts w:hint="eastAsia" w:ascii="宋体" w:hAnsi="宋体" w:cs="微软雅黑"/>
          <w:kern w:val="0"/>
          <w:sz w:val="24"/>
          <w:szCs w:val="24"/>
          <w:highlight w:val="none"/>
        </w:rPr>
        <w:t xml:space="preserve">日    期：                 </w:t>
      </w:r>
      <w:r>
        <w:rPr>
          <w:rFonts w:hint="eastAsia" w:ascii="宋体" w:hAnsi="宋体" w:cs="微软雅黑"/>
          <w:kern w:val="0"/>
          <w:szCs w:val="21"/>
          <w:highlight w:val="none"/>
        </w:rPr>
        <w:t xml:space="preserve">                 </w:t>
      </w:r>
    </w:p>
    <w:p>
      <w:pPr>
        <w:spacing w:line="500" w:lineRule="exact"/>
        <w:ind w:firstLine="885"/>
        <w:rPr>
          <w:rFonts w:ascii="微软雅黑" w:hAnsi="微软雅黑" w:eastAsia="微软雅黑" w:cs="微软雅黑"/>
          <w:sz w:val="44"/>
          <w:szCs w:val="44"/>
          <w:highlight w:val="none"/>
        </w:rPr>
      </w:pPr>
    </w:p>
    <w:p>
      <w:pPr>
        <w:spacing w:line="500" w:lineRule="exact"/>
        <w:ind w:firstLine="565"/>
        <w:rPr>
          <w:rFonts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br w:type="page"/>
      </w:r>
    </w:p>
    <w:p>
      <w:pPr>
        <w:spacing w:line="500" w:lineRule="exact"/>
        <w:jc w:val="center"/>
        <w:outlineLvl w:val="2"/>
        <w:rPr>
          <w:rFonts w:ascii="黑体" w:hAnsi="黑体" w:eastAsia="黑体"/>
          <w:b/>
          <w:bCs/>
          <w:kern w:val="0"/>
          <w:sz w:val="36"/>
          <w:szCs w:val="36"/>
          <w:highlight w:val="none"/>
        </w:rPr>
      </w:pPr>
      <w:bookmarkStart w:id="70" w:name="_Toc13051"/>
      <w:bookmarkStart w:id="71" w:name="_Toc478828310"/>
      <w:r>
        <w:rPr>
          <w:rFonts w:hint="eastAsia" w:ascii="黑体" w:hAnsi="黑体" w:eastAsia="黑体"/>
          <w:b/>
          <w:bCs/>
          <w:kern w:val="0"/>
          <w:sz w:val="36"/>
          <w:szCs w:val="36"/>
          <w:highlight w:val="none"/>
        </w:rPr>
        <w:t>最后报价明细（附件1）</w:t>
      </w:r>
      <w:bookmarkEnd w:id="70"/>
      <w:bookmarkEnd w:id="71"/>
    </w:p>
    <w:p>
      <w:pPr>
        <w:spacing w:line="500" w:lineRule="exact"/>
        <w:rPr>
          <w:rFonts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br w:type="page"/>
      </w:r>
    </w:p>
    <w:p>
      <w:pPr>
        <w:spacing w:line="500" w:lineRule="exact"/>
        <w:jc w:val="center"/>
        <w:outlineLvl w:val="2"/>
        <w:rPr>
          <w:rFonts w:ascii="黑体" w:hAnsi="黑体" w:eastAsia="黑体"/>
          <w:b/>
          <w:bCs/>
          <w:kern w:val="0"/>
          <w:sz w:val="36"/>
          <w:szCs w:val="36"/>
          <w:highlight w:val="none"/>
        </w:rPr>
      </w:pPr>
      <w:bookmarkStart w:id="72" w:name="_Toc478828311"/>
      <w:bookmarkStart w:id="73" w:name="_Toc21077"/>
      <w:r>
        <w:rPr>
          <w:rFonts w:hint="eastAsia" w:ascii="黑体" w:hAnsi="黑体" w:eastAsia="黑体"/>
          <w:b/>
          <w:bCs/>
          <w:kern w:val="0"/>
          <w:sz w:val="36"/>
          <w:szCs w:val="36"/>
          <w:highlight w:val="none"/>
        </w:rPr>
        <w:t>最后报价调整说明（附件2）</w:t>
      </w:r>
      <w:bookmarkEnd w:id="72"/>
      <w:bookmarkEnd w:id="73"/>
    </w:p>
    <w:p>
      <w:pPr>
        <w:spacing w:line="500" w:lineRule="exact"/>
        <w:outlineLvl w:val="9"/>
        <w:rPr>
          <w:rFonts w:ascii="微软雅黑" w:hAnsi="微软雅黑" w:eastAsia="微软雅黑" w:cs="微软雅黑"/>
          <w:sz w:val="36"/>
          <w:szCs w:val="36"/>
          <w:highlight w:val="none"/>
        </w:rPr>
      </w:pPr>
    </w:p>
    <w:p>
      <w:pPr>
        <w:jc w:val="right"/>
        <w:rPr>
          <w:rFonts w:ascii="宋体" w:hAnsi="宋体" w:cs="宋体"/>
          <w:sz w:val="24"/>
          <w:szCs w:val="24"/>
          <w:highlight w:val="none"/>
        </w:rPr>
      </w:pP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sectPr>
      <w:footerReference r:id="rId11" w:type="default"/>
      <w:pgSz w:w="11907" w:h="16840"/>
      <w:pgMar w:top="1088" w:right="1400" w:bottom="1106" w:left="1402" w:header="851" w:footer="992" w:gutter="0"/>
      <w:pgNumType w:fmt="decimal"/>
      <w:cols w:space="0" w:num="1"/>
      <w:rtlGutter w:val="0"/>
      <w:docGrid w:type="linesAndChars" w:linePitch="312" w:charSpace="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0" w:lineRule="exact"/>
      <w:ind w:right="360"/>
      <w:rPr>
        <w:u w:val="doubl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-100965</wp:posOffset>
          </wp:positionV>
          <wp:extent cx="716280" cy="284480"/>
          <wp:effectExtent l="0" t="0" r="0" b="0"/>
          <wp:wrapNone/>
          <wp:docPr id="1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eastAsia="宋体"/>
        <w:szCs w:val="21"/>
        <w:lang w:eastAsia="zh-CN"/>
      </w:rPr>
      <w:t>哈尔滨工程大学PIV三维流场显示系统采购项目</w:t>
    </w:r>
    <w:r>
      <w:rPr>
        <w:rFonts w:hint="eastAsia" w:eastAsia="宋体" w:cs="宋体"/>
        <w:bCs w:val="0"/>
        <w:sz w:val="21"/>
        <w:szCs w:val="21"/>
        <w:lang w:eastAsia="zh-CN"/>
      </w:rPr>
      <w:t>磋商</w:t>
    </w:r>
    <w:r>
      <w:rPr>
        <w:rFonts w:hint="eastAsia" w:ascii="宋体" w:hAnsi="宋体" w:eastAsia="宋体" w:cs="宋体"/>
        <w:bCs w:val="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MediumGap" w:color="auto" w:sz="18" w:space="1"/>
      </w:pBdr>
      <w:jc w:val="right"/>
      <w:rPr>
        <w:rFonts w:hint="default"/>
        <w:lang w:val="en-US"/>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13335</wp:posOffset>
          </wp:positionH>
          <wp:positionV relativeFrom="paragraph">
            <wp:posOffset>-77470</wp:posOffset>
          </wp:positionV>
          <wp:extent cx="716280" cy="284480"/>
          <wp:effectExtent l="0" t="0" r="7620" b="1270"/>
          <wp:wrapNone/>
          <wp:docPr id="7"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ascii="宋体" w:hAnsi="宋体" w:eastAsia="宋体" w:cs="宋体"/>
        <w:sz w:val="21"/>
        <w:szCs w:val="21"/>
        <w:lang w:eastAsia="zh-CN"/>
      </w:rPr>
      <w:t>哈尔滨工程大学校园网机房专用空调采购项目（二次）磋商文件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80240"/>
    <w:multiLevelType w:val="singleLevel"/>
    <w:tmpl w:val="DC080240"/>
    <w:lvl w:ilvl="0" w:tentative="0">
      <w:start w:val="1"/>
      <w:numFmt w:val="decimal"/>
      <w:suff w:val="nothing"/>
      <w:lvlText w:val="%1）"/>
      <w:lvlJc w:val="left"/>
    </w:lvl>
  </w:abstractNum>
  <w:abstractNum w:abstractNumId="1">
    <w:nsid w:val="E799952E"/>
    <w:multiLevelType w:val="singleLevel"/>
    <w:tmpl w:val="E799952E"/>
    <w:lvl w:ilvl="0" w:tentative="0">
      <w:start w:val="2"/>
      <w:numFmt w:val="decimal"/>
      <w:suff w:val="nothing"/>
      <w:lvlText w:val="（%1）"/>
      <w:lvlJc w:val="left"/>
    </w:lvl>
  </w:abstractNum>
  <w:abstractNum w:abstractNumId="2">
    <w:nsid w:val="FFA57C8F"/>
    <w:multiLevelType w:val="singleLevel"/>
    <w:tmpl w:val="FFA57C8F"/>
    <w:lvl w:ilvl="0" w:tentative="0">
      <w:start w:val="7"/>
      <w:numFmt w:val="chineseCounting"/>
      <w:suff w:val="nothing"/>
      <w:lvlText w:val="%1、"/>
      <w:lvlJc w:val="left"/>
      <w:rPr>
        <w:rFonts w:hint="eastAsia"/>
      </w:rPr>
    </w:lvl>
  </w:abstractNum>
  <w:abstractNum w:abstractNumId="3">
    <w:nsid w:val="4002E551"/>
    <w:multiLevelType w:val="singleLevel"/>
    <w:tmpl w:val="4002E55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5A"/>
    <w:rsid w:val="00047BE5"/>
    <w:rsid w:val="000832C7"/>
    <w:rsid w:val="000C23D3"/>
    <w:rsid w:val="000F66C4"/>
    <w:rsid w:val="001662A0"/>
    <w:rsid w:val="001D480A"/>
    <w:rsid w:val="00207E30"/>
    <w:rsid w:val="002606A5"/>
    <w:rsid w:val="002775B1"/>
    <w:rsid w:val="002C28EF"/>
    <w:rsid w:val="0032289F"/>
    <w:rsid w:val="003646AC"/>
    <w:rsid w:val="0038745A"/>
    <w:rsid w:val="004139BE"/>
    <w:rsid w:val="00530519"/>
    <w:rsid w:val="00583E08"/>
    <w:rsid w:val="00586DD4"/>
    <w:rsid w:val="005E5EAE"/>
    <w:rsid w:val="00615EB6"/>
    <w:rsid w:val="00646B63"/>
    <w:rsid w:val="006B0047"/>
    <w:rsid w:val="006B3128"/>
    <w:rsid w:val="006C5C72"/>
    <w:rsid w:val="006D1C81"/>
    <w:rsid w:val="00722AB5"/>
    <w:rsid w:val="007B5148"/>
    <w:rsid w:val="007B542E"/>
    <w:rsid w:val="00821181"/>
    <w:rsid w:val="00835FFA"/>
    <w:rsid w:val="008D4008"/>
    <w:rsid w:val="008D6035"/>
    <w:rsid w:val="008E0976"/>
    <w:rsid w:val="00916441"/>
    <w:rsid w:val="00916F04"/>
    <w:rsid w:val="009C22AB"/>
    <w:rsid w:val="009C2618"/>
    <w:rsid w:val="009D329E"/>
    <w:rsid w:val="009D5C4D"/>
    <w:rsid w:val="00A07168"/>
    <w:rsid w:val="00A63CCF"/>
    <w:rsid w:val="00AD44A0"/>
    <w:rsid w:val="00B0198F"/>
    <w:rsid w:val="00B24B7B"/>
    <w:rsid w:val="00B65644"/>
    <w:rsid w:val="00B932A2"/>
    <w:rsid w:val="00BA25DE"/>
    <w:rsid w:val="00BC3311"/>
    <w:rsid w:val="00BD2825"/>
    <w:rsid w:val="00C61008"/>
    <w:rsid w:val="00C65E46"/>
    <w:rsid w:val="00C67524"/>
    <w:rsid w:val="00C81A33"/>
    <w:rsid w:val="00CB416B"/>
    <w:rsid w:val="00D1067F"/>
    <w:rsid w:val="00DA6F79"/>
    <w:rsid w:val="00DB4A3C"/>
    <w:rsid w:val="00E02215"/>
    <w:rsid w:val="00E25838"/>
    <w:rsid w:val="00E266D9"/>
    <w:rsid w:val="00F364C3"/>
    <w:rsid w:val="00FF1DD2"/>
    <w:rsid w:val="017F5A23"/>
    <w:rsid w:val="01BA694A"/>
    <w:rsid w:val="020743E8"/>
    <w:rsid w:val="02541445"/>
    <w:rsid w:val="02B44AA3"/>
    <w:rsid w:val="03196622"/>
    <w:rsid w:val="03611398"/>
    <w:rsid w:val="039C66CE"/>
    <w:rsid w:val="0445458E"/>
    <w:rsid w:val="04820814"/>
    <w:rsid w:val="04D33698"/>
    <w:rsid w:val="05343B26"/>
    <w:rsid w:val="05421B82"/>
    <w:rsid w:val="05981513"/>
    <w:rsid w:val="05C97BA0"/>
    <w:rsid w:val="06EF3759"/>
    <w:rsid w:val="07191C7F"/>
    <w:rsid w:val="07A55539"/>
    <w:rsid w:val="07D26320"/>
    <w:rsid w:val="07F83D5D"/>
    <w:rsid w:val="07FA2DC3"/>
    <w:rsid w:val="08A53D2E"/>
    <w:rsid w:val="08A87D06"/>
    <w:rsid w:val="08F250B7"/>
    <w:rsid w:val="08F7730A"/>
    <w:rsid w:val="0907309A"/>
    <w:rsid w:val="09E4726C"/>
    <w:rsid w:val="0A5C7CD6"/>
    <w:rsid w:val="0ADA5488"/>
    <w:rsid w:val="0AF23477"/>
    <w:rsid w:val="0B086EE7"/>
    <w:rsid w:val="0B7B53B6"/>
    <w:rsid w:val="0B8A242A"/>
    <w:rsid w:val="0B9C4257"/>
    <w:rsid w:val="0BB17257"/>
    <w:rsid w:val="0BB3258E"/>
    <w:rsid w:val="0BBD50B1"/>
    <w:rsid w:val="0C28014D"/>
    <w:rsid w:val="0C640E15"/>
    <w:rsid w:val="0C706F19"/>
    <w:rsid w:val="0CBA372D"/>
    <w:rsid w:val="0CD3730A"/>
    <w:rsid w:val="0D3C4EE5"/>
    <w:rsid w:val="0D4D0822"/>
    <w:rsid w:val="0D520D96"/>
    <w:rsid w:val="0DAD6955"/>
    <w:rsid w:val="0DAF23CA"/>
    <w:rsid w:val="0E496A3B"/>
    <w:rsid w:val="0E5D227D"/>
    <w:rsid w:val="0E6E0CED"/>
    <w:rsid w:val="0E8A19E7"/>
    <w:rsid w:val="0EE6237F"/>
    <w:rsid w:val="0EEA2F91"/>
    <w:rsid w:val="0F5633FA"/>
    <w:rsid w:val="0F6A14FA"/>
    <w:rsid w:val="0F726BBD"/>
    <w:rsid w:val="0FB95500"/>
    <w:rsid w:val="0FD65E91"/>
    <w:rsid w:val="0FDA7272"/>
    <w:rsid w:val="0FFD7ACC"/>
    <w:rsid w:val="100D2156"/>
    <w:rsid w:val="10304DE9"/>
    <w:rsid w:val="10530912"/>
    <w:rsid w:val="111E5B44"/>
    <w:rsid w:val="11B81B84"/>
    <w:rsid w:val="11B92834"/>
    <w:rsid w:val="11CE503E"/>
    <w:rsid w:val="12087A3F"/>
    <w:rsid w:val="127C0567"/>
    <w:rsid w:val="12F43FD8"/>
    <w:rsid w:val="134E76D6"/>
    <w:rsid w:val="13924B1C"/>
    <w:rsid w:val="13C921F5"/>
    <w:rsid w:val="142372AB"/>
    <w:rsid w:val="14361614"/>
    <w:rsid w:val="144207ED"/>
    <w:rsid w:val="149E4E20"/>
    <w:rsid w:val="14CA1D7A"/>
    <w:rsid w:val="1500725F"/>
    <w:rsid w:val="15025E8A"/>
    <w:rsid w:val="15F80160"/>
    <w:rsid w:val="161A79AF"/>
    <w:rsid w:val="165D5D1C"/>
    <w:rsid w:val="168D31B9"/>
    <w:rsid w:val="16946800"/>
    <w:rsid w:val="16A04B15"/>
    <w:rsid w:val="17293E28"/>
    <w:rsid w:val="17B30DB3"/>
    <w:rsid w:val="18053486"/>
    <w:rsid w:val="183579D4"/>
    <w:rsid w:val="188E6777"/>
    <w:rsid w:val="18BC0B0D"/>
    <w:rsid w:val="18CE152A"/>
    <w:rsid w:val="191343C1"/>
    <w:rsid w:val="1917143C"/>
    <w:rsid w:val="199A3E19"/>
    <w:rsid w:val="19EE6A55"/>
    <w:rsid w:val="1A2A17EE"/>
    <w:rsid w:val="1A740BA4"/>
    <w:rsid w:val="1B1C5903"/>
    <w:rsid w:val="1B351D83"/>
    <w:rsid w:val="1B775151"/>
    <w:rsid w:val="1B95731C"/>
    <w:rsid w:val="1BB97901"/>
    <w:rsid w:val="1BD321D4"/>
    <w:rsid w:val="1C087973"/>
    <w:rsid w:val="1D012A34"/>
    <w:rsid w:val="1D1D5B29"/>
    <w:rsid w:val="1D6C63D6"/>
    <w:rsid w:val="1D842C9B"/>
    <w:rsid w:val="1DA7393F"/>
    <w:rsid w:val="1E1036B4"/>
    <w:rsid w:val="1E490443"/>
    <w:rsid w:val="1E4D0E3E"/>
    <w:rsid w:val="1E501EA8"/>
    <w:rsid w:val="1F7A7D9C"/>
    <w:rsid w:val="1FB4350B"/>
    <w:rsid w:val="1FBB0006"/>
    <w:rsid w:val="1FBF62EF"/>
    <w:rsid w:val="1FDE07AA"/>
    <w:rsid w:val="1FF30823"/>
    <w:rsid w:val="20715817"/>
    <w:rsid w:val="20907C82"/>
    <w:rsid w:val="21005729"/>
    <w:rsid w:val="215D3444"/>
    <w:rsid w:val="219D086D"/>
    <w:rsid w:val="21A54F6C"/>
    <w:rsid w:val="220024E7"/>
    <w:rsid w:val="220C7A47"/>
    <w:rsid w:val="223528F8"/>
    <w:rsid w:val="224A5782"/>
    <w:rsid w:val="22BB4FD4"/>
    <w:rsid w:val="23C76B4A"/>
    <w:rsid w:val="23ED32E6"/>
    <w:rsid w:val="240D2CF7"/>
    <w:rsid w:val="24497052"/>
    <w:rsid w:val="249332FC"/>
    <w:rsid w:val="24C464A7"/>
    <w:rsid w:val="24EE7865"/>
    <w:rsid w:val="24EF69FC"/>
    <w:rsid w:val="25387074"/>
    <w:rsid w:val="256D752A"/>
    <w:rsid w:val="25726037"/>
    <w:rsid w:val="25D51E89"/>
    <w:rsid w:val="25F328E8"/>
    <w:rsid w:val="262D7AA5"/>
    <w:rsid w:val="269312C9"/>
    <w:rsid w:val="26C70531"/>
    <w:rsid w:val="26F009A7"/>
    <w:rsid w:val="26F2071B"/>
    <w:rsid w:val="26FD010D"/>
    <w:rsid w:val="274317FB"/>
    <w:rsid w:val="281E0F1E"/>
    <w:rsid w:val="282B448B"/>
    <w:rsid w:val="298C4C18"/>
    <w:rsid w:val="29D239ED"/>
    <w:rsid w:val="29FB7794"/>
    <w:rsid w:val="2A276947"/>
    <w:rsid w:val="2A6A5DDF"/>
    <w:rsid w:val="2A966C10"/>
    <w:rsid w:val="2AA42F9C"/>
    <w:rsid w:val="2AB80D08"/>
    <w:rsid w:val="2BD14098"/>
    <w:rsid w:val="2C2A0420"/>
    <w:rsid w:val="2C956510"/>
    <w:rsid w:val="2CCE1DB2"/>
    <w:rsid w:val="2D9C4251"/>
    <w:rsid w:val="2DE52571"/>
    <w:rsid w:val="2E5759E1"/>
    <w:rsid w:val="2E902201"/>
    <w:rsid w:val="2EAF4004"/>
    <w:rsid w:val="2ECA2081"/>
    <w:rsid w:val="2F4E4496"/>
    <w:rsid w:val="2F841FE7"/>
    <w:rsid w:val="2F9E16B9"/>
    <w:rsid w:val="2FB973E8"/>
    <w:rsid w:val="30237D25"/>
    <w:rsid w:val="304812A5"/>
    <w:rsid w:val="31284FE6"/>
    <w:rsid w:val="317D4AC1"/>
    <w:rsid w:val="31B84A95"/>
    <w:rsid w:val="31E02835"/>
    <w:rsid w:val="3254621E"/>
    <w:rsid w:val="32672A55"/>
    <w:rsid w:val="330608B6"/>
    <w:rsid w:val="332726C2"/>
    <w:rsid w:val="33DB68C4"/>
    <w:rsid w:val="3475775C"/>
    <w:rsid w:val="3488773F"/>
    <w:rsid w:val="34A04475"/>
    <w:rsid w:val="34C1048C"/>
    <w:rsid w:val="353518CE"/>
    <w:rsid w:val="355C2A2E"/>
    <w:rsid w:val="36470121"/>
    <w:rsid w:val="36547876"/>
    <w:rsid w:val="36E02A0F"/>
    <w:rsid w:val="36FE4382"/>
    <w:rsid w:val="37397773"/>
    <w:rsid w:val="378A7FA2"/>
    <w:rsid w:val="379D4DB3"/>
    <w:rsid w:val="37D40CDE"/>
    <w:rsid w:val="381A757E"/>
    <w:rsid w:val="384774D0"/>
    <w:rsid w:val="384F2C12"/>
    <w:rsid w:val="38916240"/>
    <w:rsid w:val="39102027"/>
    <w:rsid w:val="391C5B8D"/>
    <w:rsid w:val="394523F3"/>
    <w:rsid w:val="39857A23"/>
    <w:rsid w:val="39A75B3A"/>
    <w:rsid w:val="39F011EE"/>
    <w:rsid w:val="3A18752E"/>
    <w:rsid w:val="3A2C2AEB"/>
    <w:rsid w:val="3A8B22B0"/>
    <w:rsid w:val="3AD76EE6"/>
    <w:rsid w:val="3B5D372C"/>
    <w:rsid w:val="3B620FCD"/>
    <w:rsid w:val="3BAA1559"/>
    <w:rsid w:val="3C150A97"/>
    <w:rsid w:val="3CD23903"/>
    <w:rsid w:val="3D18191F"/>
    <w:rsid w:val="3D52616A"/>
    <w:rsid w:val="3D661EB4"/>
    <w:rsid w:val="3DFC68BE"/>
    <w:rsid w:val="3E1616CD"/>
    <w:rsid w:val="3E6B6ABC"/>
    <w:rsid w:val="3E7D4E6C"/>
    <w:rsid w:val="3E876B57"/>
    <w:rsid w:val="3EA877FB"/>
    <w:rsid w:val="3F43650E"/>
    <w:rsid w:val="3F5A55EE"/>
    <w:rsid w:val="3F612B9A"/>
    <w:rsid w:val="3FA11CBB"/>
    <w:rsid w:val="3FA70363"/>
    <w:rsid w:val="3FAE39DD"/>
    <w:rsid w:val="415E73E4"/>
    <w:rsid w:val="41634485"/>
    <w:rsid w:val="41700CF1"/>
    <w:rsid w:val="41A551EF"/>
    <w:rsid w:val="41FE69E4"/>
    <w:rsid w:val="425351D7"/>
    <w:rsid w:val="42944682"/>
    <w:rsid w:val="42BA6DD5"/>
    <w:rsid w:val="42C87A31"/>
    <w:rsid w:val="43040AF8"/>
    <w:rsid w:val="43107B8C"/>
    <w:rsid w:val="43BD043F"/>
    <w:rsid w:val="43D45E7E"/>
    <w:rsid w:val="44081CE3"/>
    <w:rsid w:val="441B671A"/>
    <w:rsid w:val="444F16DA"/>
    <w:rsid w:val="44D64778"/>
    <w:rsid w:val="44DC2062"/>
    <w:rsid w:val="45056ACF"/>
    <w:rsid w:val="45663660"/>
    <w:rsid w:val="457F4F0E"/>
    <w:rsid w:val="459A0FDA"/>
    <w:rsid w:val="45A01EFE"/>
    <w:rsid w:val="45C842F6"/>
    <w:rsid w:val="45FF1E30"/>
    <w:rsid w:val="463A26DD"/>
    <w:rsid w:val="464858E6"/>
    <w:rsid w:val="465015DF"/>
    <w:rsid w:val="468E5695"/>
    <w:rsid w:val="46930980"/>
    <w:rsid w:val="46ED25DB"/>
    <w:rsid w:val="475C1665"/>
    <w:rsid w:val="47670323"/>
    <w:rsid w:val="47981F6D"/>
    <w:rsid w:val="47C904D3"/>
    <w:rsid w:val="481A7138"/>
    <w:rsid w:val="48674FE0"/>
    <w:rsid w:val="488D3F83"/>
    <w:rsid w:val="488D7179"/>
    <w:rsid w:val="48E8578B"/>
    <w:rsid w:val="49164110"/>
    <w:rsid w:val="494277D6"/>
    <w:rsid w:val="498666EB"/>
    <w:rsid w:val="499D2F63"/>
    <w:rsid w:val="49CF313E"/>
    <w:rsid w:val="49DF273C"/>
    <w:rsid w:val="49EC5D1F"/>
    <w:rsid w:val="4A5C44E6"/>
    <w:rsid w:val="4A790AE6"/>
    <w:rsid w:val="4AE32A46"/>
    <w:rsid w:val="4B19176C"/>
    <w:rsid w:val="4B481012"/>
    <w:rsid w:val="4B6D52F0"/>
    <w:rsid w:val="4B9B76B9"/>
    <w:rsid w:val="4BA9532F"/>
    <w:rsid w:val="4BDF76CE"/>
    <w:rsid w:val="4C103449"/>
    <w:rsid w:val="4C1927DE"/>
    <w:rsid w:val="4C25494E"/>
    <w:rsid w:val="4CE92ECE"/>
    <w:rsid w:val="4D4B3948"/>
    <w:rsid w:val="4D632DAC"/>
    <w:rsid w:val="4D9326F2"/>
    <w:rsid w:val="4DFA0A9E"/>
    <w:rsid w:val="4DFC4D6C"/>
    <w:rsid w:val="4E0252FF"/>
    <w:rsid w:val="4E611B1E"/>
    <w:rsid w:val="4EAC6901"/>
    <w:rsid w:val="4EBF1788"/>
    <w:rsid w:val="4EFC0BEA"/>
    <w:rsid w:val="4F037219"/>
    <w:rsid w:val="4FF92C7E"/>
    <w:rsid w:val="50243ED3"/>
    <w:rsid w:val="50670055"/>
    <w:rsid w:val="50BA1BA0"/>
    <w:rsid w:val="50D44C1F"/>
    <w:rsid w:val="50EF3C7A"/>
    <w:rsid w:val="51617FB5"/>
    <w:rsid w:val="51FD68BD"/>
    <w:rsid w:val="5210461F"/>
    <w:rsid w:val="52513E3E"/>
    <w:rsid w:val="52B12682"/>
    <w:rsid w:val="53987F23"/>
    <w:rsid w:val="53A31B33"/>
    <w:rsid w:val="53DF2889"/>
    <w:rsid w:val="53FA157A"/>
    <w:rsid w:val="550173DB"/>
    <w:rsid w:val="553E3BA0"/>
    <w:rsid w:val="55FD1DAB"/>
    <w:rsid w:val="56026917"/>
    <w:rsid w:val="561F756E"/>
    <w:rsid w:val="56394C3B"/>
    <w:rsid w:val="57107769"/>
    <w:rsid w:val="57655C0D"/>
    <w:rsid w:val="57665D1B"/>
    <w:rsid w:val="5786211A"/>
    <w:rsid w:val="57DD01BB"/>
    <w:rsid w:val="57E00307"/>
    <w:rsid w:val="58184E84"/>
    <w:rsid w:val="5833614C"/>
    <w:rsid w:val="58336974"/>
    <w:rsid w:val="58392FCB"/>
    <w:rsid w:val="58CA5FA4"/>
    <w:rsid w:val="58D95C79"/>
    <w:rsid w:val="597F3B43"/>
    <w:rsid w:val="59A66FA5"/>
    <w:rsid w:val="59C7537F"/>
    <w:rsid w:val="5A680C74"/>
    <w:rsid w:val="5AC239AC"/>
    <w:rsid w:val="5B1C0C9C"/>
    <w:rsid w:val="5B6B27B0"/>
    <w:rsid w:val="5BB10E82"/>
    <w:rsid w:val="5C577976"/>
    <w:rsid w:val="5C5E0D50"/>
    <w:rsid w:val="5CEB585B"/>
    <w:rsid w:val="5CF60014"/>
    <w:rsid w:val="5D1E4238"/>
    <w:rsid w:val="5D1E7C35"/>
    <w:rsid w:val="5D804C3D"/>
    <w:rsid w:val="5D990B4B"/>
    <w:rsid w:val="5DA5741B"/>
    <w:rsid w:val="5DB402BB"/>
    <w:rsid w:val="5DE3693D"/>
    <w:rsid w:val="5E1759F5"/>
    <w:rsid w:val="5E6A0FBD"/>
    <w:rsid w:val="5E715B35"/>
    <w:rsid w:val="5EDE5784"/>
    <w:rsid w:val="5F863DFE"/>
    <w:rsid w:val="5FBB10EE"/>
    <w:rsid w:val="601419AA"/>
    <w:rsid w:val="60320D8E"/>
    <w:rsid w:val="60637A3C"/>
    <w:rsid w:val="61045BB9"/>
    <w:rsid w:val="61514926"/>
    <w:rsid w:val="617A6E6A"/>
    <w:rsid w:val="61A62092"/>
    <w:rsid w:val="621C7E31"/>
    <w:rsid w:val="6283262A"/>
    <w:rsid w:val="62944EAA"/>
    <w:rsid w:val="637C2C25"/>
    <w:rsid w:val="63822478"/>
    <w:rsid w:val="640249FC"/>
    <w:rsid w:val="640565BC"/>
    <w:rsid w:val="647922B7"/>
    <w:rsid w:val="647D2A9B"/>
    <w:rsid w:val="64955AEC"/>
    <w:rsid w:val="649E743A"/>
    <w:rsid w:val="64B00143"/>
    <w:rsid w:val="65087EBE"/>
    <w:rsid w:val="652E131F"/>
    <w:rsid w:val="659251B9"/>
    <w:rsid w:val="65CF134B"/>
    <w:rsid w:val="665B6D28"/>
    <w:rsid w:val="66AB479B"/>
    <w:rsid w:val="66AC6B5C"/>
    <w:rsid w:val="66D121DB"/>
    <w:rsid w:val="67073103"/>
    <w:rsid w:val="67113DFE"/>
    <w:rsid w:val="67B66D2C"/>
    <w:rsid w:val="67D474B8"/>
    <w:rsid w:val="682D75F7"/>
    <w:rsid w:val="687E7D79"/>
    <w:rsid w:val="6882624B"/>
    <w:rsid w:val="68A6172F"/>
    <w:rsid w:val="68B60540"/>
    <w:rsid w:val="68F51430"/>
    <w:rsid w:val="6983031A"/>
    <w:rsid w:val="69945A9D"/>
    <w:rsid w:val="699B1E70"/>
    <w:rsid w:val="69D9618E"/>
    <w:rsid w:val="6A00113D"/>
    <w:rsid w:val="6AE13C40"/>
    <w:rsid w:val="6B1D1742"/>
    <w:rsid w:val="6B385477"/>
    <w:rsid w:val="6C0A1F59"/>
    <w:rsid w:val="6C337CA0"/>
    <w:rsid w:val="6C495B1D"/>
    <w:rsid w:val="6C935C22"/>
    <w:rsid w:val="6CB626E0"/>
    <w:rsid w:val="6CCF09D7"/>
    <w:rsid w:val="6D097428"/>
    <w:rsid w:val="6D1A653B"/>
    <w:rsid w:val="6D921CD5"/>
    <w:rsid w:val="6DCA4EB2"/>
    <w:rsid w:val="6DCF5C7A"/>
    <w:rsid w:val="6E2544C9"/>
    <w:rsid w:val="6E29110E"/>
    <w:rsid w:val="6EAC7C83"/>
    <w:rsid w:val="6F357A85"/>
    <w:rsid w:val="6F9E7AB4"/>
    <w:rsid w:val="6FF128EE"/>
    <w:rsid w:val="70291B97"/>
    <w:rsid w:val="703125A4"/>
    <w:rsid w:val="70352D4D"/>
    <w:rsid w:val="704B3725"/>
    <w:rsid w:val="70AE4211"/>
    <w:rsid w:val="70CC2693"/>
    <w:rsid w:val="70F76B09"/>
    <w:rsid w:val="711A21C6"/>
    <w:rsid w:val="715323D7"/>
    <w:rsid w:val="71A027FB"/>
    <w:rsid w:val="71EF0FC9"/>
    <w:rsid w:val="71FC0D02"/>
    <w:rsid w:val="72063061"/>
    <w:rsid w:val="72E66025"/>
    <w:rsid w:val="733736D1"/>
    <w:rsid w:val="738753A0"/>
    <w:rsid w:val="73AD534C"/>
    <w:rsid w:val="73B23877"/>
    <w:rsid w:val="73FD63CD"/>
    <w:rsid w:val="7428716F"/>
    <w:rsid w:val="742F4771"/>
    <w:rsid w:val="749412EE"/>
    <w:rsid w:val="749624BA"/>
    <w:rsid w:val="75021933"/>
    <w:rsid w:val="75070DF8"/>
    <w:rsid w:val="75512303"/>
    <w:rsid w:val="757B125F"/>
    <w:rsid w:val="75B20967"/>
    <w:rsid w:val="76172305"/>
    <w:rsid w:val="768A4282"/>
    <w:rsid w:val="77AB0EF3"/>
    <w:rsid w:val="782A5E63"/>
    <w:rsid w:val="78DC3575"/>
    <w:rsid w:val="79116188"/>
    <w:rsid w:val="795858D0"/>
    <w:rsid w:val="79A30089"/>
    <w:rsid w:val="79EA18F0"/>
    <w:rsid w:val="7A535BCD"/>
    <w:rsid w:val="7A76043B"/>
    <w:rsid w:val="7AC57B27"/>
    <w:rsid w:val="7AEC177C"/>
    <w:rsid w:val="7B7501BF"/>
    <w:rsid w:val="7C680DB1"/>
    <w:rsid w:val="7C9D230A"/>
    <w:rsid w:val="7CD403DC"/>
    <w:rsid w:val="7CDA31FE"/>
    <w:rsid w:val="7D374584"/>
    <w:rsid w:val="7D492687"/>
    <w:rsid w:val="7DD775E1"/>
    <w:rsid w:val="7DE9138A"/>
    <w:rsid w:val="7E1E10C0"/>
    <w:rsid w:val="7E527E08"/>
    <w:rsid w:val="7E9B63B4"/>
    <w:rsid w:val="7EAF045C"/>
    <w:rsid w:val="7F3373BD"/>
    <w:rsid w:val="7F681F92"/>
    <w:rsid w:val="7F6F48D7"/>
    <w:rsid w:val="7F7F02F6"/>
    <w:rsid w:val="7F983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6">
    <w:name w:val="heading 2"/>
    <w:basedOn w:val="1"/>
    <w:next w:val="1"/>
    <w:link w:val="44"/>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7">
    <w:name w:val="heading 3"/>
    <w:basedOn w:val="1"/>
    <w:next w:val="1"/>
    <w:link w:val="36"/>
    <w:unhideWhenUsed/>
    <w:qFormat/>
    <w:uiPriority w:val="9"/>
    <w:pPr>
      <w:keepNext/>
      <w:keepLines/>
      <w:tabs>
        <w:tab w:val="left" w:pos="720"/>
      </w:tabs>
      <w:spacing w:before="120" w:after="120" w:line="360" w:lineRule="auto"/>
      <w:jc w:val="center"/>
      <w:outlineLvl w:val="2"/>
    </w:pPr>
    <w:rPr>
      <w:rFonts w:ascii="Times New Roman" w:hAnsi="Times New Roman" w:eastAsia="黑体" w:cs="Times New Roman"/>
      <w:b/>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80"/>
      </w:tabs>
      <w:ind w:firstLine="420" w:firstLineChars="100"/>
    </w:pPr>
  </w:style>
  <w:style w:type="paragraph" w:styleId="3">
    <w:name w:val="Body Text"/>
    <w:basedOn w:val="1"/>
    <w:next w:val="4"/>
    <w:unhideWhenUsed/>
    <w:qFormat/>
    <w:uiPriority w:val="99"/>
    <w:pPr>
      <w:spacing w:after="120"/>
    </w:pPr>
  </w:style>
  <w:style w:type="paragraph" w:styleId="4">
    <w:name w:val="Date"/>
    <w:basedOn w:val="1"/>
    <w:next w:val="1"/>
    <w:qFormat/>
    <w:uiPriority w:val="0"/>
    <w:rPr>
      <w:sz w:val="24"/>
      <w:szCs w:val="20"/>
    </w:rPr>
  </w:style>
  <w:style w:type="paragraph" w:styleId="8">
    <w:name w:val="annotation text"/>
    <w:basedOn w:val="1"/>
    <w:link w:val="39"/>
    <w:unhideWhenUsed/>
    <w:qFormat/>
    <w:uiPriority w:val="99"/>
    <w:pPr>
      <w:jc w:val="left"/>
    </w:pPr>
  </w:style>
  <w:style w:type="paragraph" w:styleId="9">
    <w:name w:val="Body Text Indent"/>
    <w:basedOn w:val="1"/>
    <w:link w:val="32"/>
    <w:unhideWhenUsed/>
    <w:qFormat/>
    <w:uiPriority w:val="99"/>
    <w:pPr>
      <w:ind w:firstLine="600" w:firstLineChars="200"/>
    </w:pPr>
    <w:rPr>
      <w:rFonts w:ascii="Times New Roman" w:hAnsi="Times New Roman" w:eastAsia="楷体_GB2312" w:cs="Times New Roman"/>
      <w:sz w:val="30"/>
      <w:szCs w:val="20"/>
    </w:rPr>
  </w:style>
  <w:style w:type="paragraph" w:styleId="10">
    <w:name w:val="Plain Text"/>
    <w:basedOn w:val="1"/>
    <w:qFormat/>
    <w:uiPriority w:val="0"/>
    <w:rPr>
      <w:rFonts w:ascii="宋体" w:hAnsi="Courier New" w:eastAsiaTheme="minorEastAsia" w:cstheme="minorBidi"/>
      <w:szCs w:val="22"/>
    </w:rPr>
  </w:style>
  <w:style w:type="paragraph" w:styleId="11">
    <w:name w:val="Body Text Indent 2"/>
    <w:basedOn w:val="1"/>
    <w:link w:val="33"/>
    <w:unhideWhenUsed/>
    <w:qFormat/>
    <w:uiPriority w:val="99"/>
    <w:pPr>
      <w:ind w:left="600"/>
    </w:pPr>
    <w:rPr>
      <w:rFonts w:ascii="Times New Roman" w:hAnsi="Times New Roman" w:eastAsia="楷体_GB2312" w:cs="Times New Roman"/>
      <w:sz w:val="30"/>
      <w:szCs w:val="20"/>
    </w:rPr>
  </w:style>
  <w:style w:type="paragraph" w:styleId="12">
    <w:name w:val="Balloon Text"/>
    <w:basedOn w:val="1"/>
    <w:link w:val="37"/>
    <w:unhideWhenUsed/>
    <w:qFormat/>
    <w:uiPriority w:val="99"/>
    <w:rPr>
      <w:sz w:val="18"/>
      <w:szCs w:val="18"/>
    </w:r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eastAsia="宋体" w:cs="Times New Roman"/>
      <w:szCs w:val="20"/>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paragraph" w:styleId="18">
    <w:name w:val="annotation subject"/>
    <w:basedOn w:val="8"/>
    <w:next w:val="8"/>
    <w:link w:val="40"/>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Tahoma" w:hAnsi="Tahoma"/>
      <w:b/>
      <w:bCs/>
      <w:sz w:val="24"/>
      <w:szCs w:val="20"/>
    </w:rPr>
  </w:style>
  <w:style w:type="character" w:styleId="23">
    <w:name w:val="page number"/>
    <w:basedOn w:val="21"/>
    <w:unhideWhenUsed/>
    <w:qFormat/>
    <w:uiPriority w:val="99"/>
    <w:rPr>
      <w:rFonts w:ascii="Tahoma" w:hAnsi="Tahoma"/>
      <w:sz w:val="24"/>
      <w:szCs w:val="20"/>
    </w:rPr>
  </w:style>
  <w:style w:type="character" w:styleId="24">
    <w:name w:val="FollowedHyperlink"/>
    <w:basedOn w:val="21"/>
    <w:unhideWhenUsed/>
    <w:qFormat/>
    <w:uiPriority w:val="99"/>
    <w:rPr>
      <w:rFonts w:ascii="Tahoma" w:hAnsi="Tahoma"/>
      <w:color w:val="800080"/>
      <w:sz w:val="24"/>
      <w:szCs w:val="20"/>
      <w:u w:val="single"/>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unhideWhenUsed/>
    <w:qFormat/>
    <w:uiPriority w:val="99"/>
    <w:rPr>
      <w:sz w:val="21"/>
      <w:szCs w:val="21"/>
    </w:rPr>
  </w:style>
  <w:style w:type="character" w:customStyle="1" w:styleId="27">
    <w:name w:val="页眉 Char"/>
    <w:basedOn w:val="21"/>
    <w:semiHidden/>
    <w:qFormat/>
    <w:uiPriority w:val="99"/>
    <w:rPr>
      <w:sz w:val="18"/>
      <w:szCs w:val="18"/>
    </w:rPr>
  </w:style>
  <w:style w:type="character" w:customStyle="1" w:styleId="28">
    <w:name w:val="页脚 Char"/>
    <w:basedOn w:val="21"/>
    <w:semiHidden/>
    <w:qFormat/>
    <w:uiPriority w:val="99"/>
    <w:rPr>
      <w:sz w:val="18"/>
      <w:szCs w:val="18"/>
    </w:rPr>
  </w:style>
  <w:style w:type="character" w:customStyle="1" w:styleId="29">
    <w:name w:val="标题 1 Char"/>
    <w:basedOn w:val="21"/>
    <w:link w:val="5"/>
    <w:qFormat/>
    <w:uiPriority w:val="0"/>
    <w:rPr>
      <w:rFonts w:ascii="Times New Roman" w:hAnsi="Times New Roman" w:eastAsia="宋体" w:cs="Times New Roman"/>
      <w:b/>
      <w:kern w:val="44"/>
      <w:sz w:val="44"/>
      <w:szCs w:val="20"/>
    </w:rPr>
  </w:style>
  <w:style w:type="character" w:customStyle="1" w:styleId="30">
    <w:name w:val="标题 2 Char"/>
    <w:basedOn w:val="21"/>
    <w:link w:val="6"/>
    <w:qFormat/>
    <w:uiPriority w:val="0"/>
    <w:rPr>
      <w:rFonts w:ascii="Arial" w:hAnsi="Arial" w:eastAsia="黑体" w:cs="Times New Roman"/>
      <w:b/>
      <w:kern w:val="0"/>
      <w:sz w:val="32"/>
      <w:szCs w:val="20"/>
    </w:rPr>
  </w:style>
  <w:style w:type="paragraph" w:customStyle="1" w:styleId="31">
    <w:name w:val="Char"/>
    <w:basedOn w:val="1"/>
    <w:qFormat/>
    <w:uiPriority w:val="0"/>
    <w:rPr>
      <w:rFonts w:ascii="Tahoma" w:hAnsi="Tahoma" w:eastAsia="宋体" w:cs="Times New Roman"/>
      <w:sz w:val="24"/>
      <w:szCs w:val="20"/>
    </w:rPr>
  </w:style>
  <w:style w:type="character" w:customStyle="1" w:styleId="32">
    <w:name w:val="正文文本缩进 Char"/>
    <w:basedOn w:val="21"/>
    <w:link w:val="9"/>
    <w:qFormat/>
    <w:uiPriority w:val="99"/>
    <w:rPr>
      <w:rFonts w:ascii="Times New Roman" w:hAnsi="Times New Roman" w:eastAsia="楷体_GB2312" w:cs="Times New Roman"/>
      <w:sz w:val="30"/>
      <w:szCs w:val="20"/>
    </w:rPr>
  </w:style>
  <w:style w:type="character" w:customStyle="1" w:styleId="33">
    <w:name w:val="正文文本缩进 2 Char"/>
    <w:basedOn w:val="21"/>
    <w:link w:val="11"/>
    <w:qFormat/>
    <w:uiPriority w:val="99"/>
    <w:rPr>
      <w:rFonts w:ascii="Times New Roman" w:hAnsi="Times New Roman" w:eastAsia="楷体_GB2312" w:cs="Times New Roman"/>
      <w:sz w:val="30"/>
      <w:szCs w:val="20"/>
    </w:rPr>
  </w:style>
  <w:style w:type="character" w:customStyle="1" w:styleId="34">
    <w:name w:val="页眉 Char1"/>
    <w:basedOn w:val="21"/>
    <w:link w:val="14"/>
    <w:qFormat/>
    <w:uiPriority w:val="0"/>
    <w:rPr>
      <w:rFonts w:hint="default" w:ascii="Times New Roman" w:hAnsi="Times New Roman" w:cs="Times New Roman"/>
      <w:kern w:val="2"/>
      <w:sz w:val="18"/>
      <w:szCs w:val="18"/>
    </w:rPr>
  </w:style>
  <w:style w:type="character" w:customStyle="1" w:styleId="35">
    <w:name w:val="页脚 Char1"/>
    <w:basedOn w:val="21"/>
    <w:link w:val="13"/>
    <w:qFormat/>
    <w:uiPriority w:val="0"/>
    <w:rPr>
      <w:rFonts w:hint="default" w:ascii="Times New Roman" w:hAnsi="Times New Roman" w:cs="Times New Roman"/>
      <w:kern w:val="2"/>
      <w:sz w:val="18"/>
      <w:szCs w:val="18"/>
    </w:rPr>
  </w:style>
  <w:style w:type="character" w:customStyle="1" w:styleId="36">
    <w:name w:val="标题 3 Char"/>
    <w:basedOn w:val="21"/>
    <w:link w:val="7"/>
    <w:qFormat/>
    <w:uiPriority w:val="0"/>
    <w:rPr>
      <w:rFonts w:hint="eastAsia" w:ascii="黑体" w:hAnsi="宋体" w:eastAsia="黑体" w:cs="黑体"/>
      <w:b/>
      <w:kern w:val="2"/>
      <w:sz w:val="28"/>
      <w:szCs w:val="32"/>
    </w:rPr>
  </w:style>
  <w:style w:type="character" w:customStyle="1" w:styleId="37">
    <w:name w:val="批注框文本 Char"/>
    <w:basedOn w:val="21"/>
    <w:link w:val="12"/>
    <w:semiHidden/>
    <w:qFormat/>
    <w:uiPriority w:val="99"/>
    <w:rPr>
      <w:rFonts w:asciiTheme="minorHAnsi" w:hAnsiTheme="minorHAnsi" w:eastAsiaTheme="minorEastAsia" w:cstheme="minorBidi"/>
      <w:kern w:val="2"/>
      <w:sz w:val="18"/>
      <w:szCs w:val="18"/>
    </w:rPr>
  </w:style>
  <w:style w:type="character" w:customStyle="1" w:styleId="38">
    <w:name w:val="font21"/>
    <w:qFormat/>
    <w:uiPriority w:val="0"/>
    <w:rPr>
      <w:rFonts w:hint="default" w:ascii="Times New Roman" w:hAnsi="Times New Roman" w:cs="Times New Roman"/>
      <w:color w:val="000000"/>
      <w:sz w:val="20"/>
      <w:szCs w:val="20"/>
      <w:u w:val="none"/>
    </w:rPr>
  </w:style>
  <w:style w:type="character" w:customStyle="1" w:styleId="39">
    <w:name w:val="批注文字 Char"/>
    <w:basedOn w:val="21"/>
    <w:link w:val="8"/>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8"/>
    <w:semiHidden/>
    <w:qFormat/>
    <w:uiPriority w:val="99"/>
    <w:rPr>
      <w:rFonts w:asciiTheme="minorHAnsi" w:hAnsiTheme="minorHAnsi" w:eastAsiaTheme="minorEastAsia" w:cstheme="minorBidi"/>
      <w:b/>
      <w:bCs/>
      <w:kern w:val="2"/>
      <w:sz w:val="21"/>
      <w:szCs w:val="22"/>
    </w:rPr>
  </w:style>
  <w:style w:type="paragraph" w:styleId="41">
    <w:name w:val="List Paragraph"/>
    <w:basedOn w:val="1"/>
    <w:qFormat/>
    <w:uiPriority w:val="99"/>
    <w:pPr>
      <w:ind w:firstLine="420" w:firstLineChars="200"/>
    </w:pPr>
  </w:style>
  <w:style w:type="character" w:customStyle="1" w:styleId="42">
    <w:name w:val="font141"/>
    <w:qFormat/>
    <w:uiPriority w:val="0"/>
    <w:rPr>
      <w:rFonts w:hint="eastAsia" w:ascii="宋体" w:hAnsi="宋体" w:eastAsia="宋体" w:cs="宋体"/>
      <w:color w:val="000000"/>
      <w:sz w:val="22"/>
      <w:szCs w:val="22"/>
      <w:u w:val="none"/>
    </w:rPr>
  </w:style>
  <w:style w:type="paragraph" w:customStyle="1" w:styleId="43">
    <w:name w:val="样式6"/>
    <w:basedOn w:val="1"/>
    <w:qFormat/>
    <w:uiPriority w:val="0"/>
    <w:pPr>
      <w:pBdr>
        <w:bottom w:val="thickThinMediumGap" w:color="auto" w:sz="18" w:space="1"/>
      </w:pBdr>
      <w:tabs>
        <w:tab w:val="center" w:pos="4153"/>
        <w:tab w:val="right" w:pos="8306"/>
      </w:tabs>
      <w:snapToGrid w:val="0"/>
      <w:jc w:val="center"/>
    </w:pPr>
    <w:rPr>
      <w:rFonts w:ascii="宋体" w:hAnsi="宋体"/>
      <w:b/>
      <w:bCs/>
      <w:szCs w:val="21"/>
    </w:rPr>
  </w:style>
  <w:style w:type="character" w:customStyle="1" w:styleId="44">
    <w:name w:val="标题 2 字符"/>
    <w:link w:val="6"/>
    <w:qFormat/>
    <w:uiPriority w:val="0"/>
    <w:rPr>
      <w:rFonts w:ascii="Arial" w:hAnsi="Arial" w:eastAsia="黑体" w:cs="Times New Roman"/>
      <w:b/>
      <w:kern w:val="0"/>
      <w:sz w:val="32"/>
      <w:szCs w:val="20"/>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 w:type="paragraph" w:customStyle="1" w:styleId="46">
    <w:name w:val="Table Paragraph"/>
    <w:basedOn w:val="1"/>
    <w:qFormat/>
    <w:uiPriority w:val="1"/>
    <w:pPr>
      <w:spacing w:line="292" w:lineRule="exact"/>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B8181-56A0-4FB4-865A-7EDD26EFE1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2852</Words>
  <Characters>16260</Characters>
  <Lines>135</Lines>
  <Paragraphs>38</Paragraphs>
  <TotalTime>36</TotalTime>
  <ScaleCrop>false</ScaleCrop>
  <LinksUpToDate>false</LinksUpToDate>
  <CharactersWithSpaces>19074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2017-05-23T11:14:00Z</dcterms:created>
  <dc:creator>正信伟业招标集团有限公司</dc:creator>
  <cp:lastModifiedBy>Mj</cp:lastModifiedBy>
  <cp:lastPrinted>2020-06-11T06:21:00Z</cp:lastPrinted>
  <dcterms:modified xsi:type="dcterms:W3CDTF">2020-11-17T02:39:06Z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